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6A" w:rsidRPr="00180B68" w:rsidRDefault="0033406A">
      <w:bookmarkStart w:id="0" w:name="_GoBack"/>
      <w:bookmarkEnd w:id="0"/>
    </w:p>
    <w:p w:rsidR="00A935E9" w:rsidRPr="00180B68" w:rsidRDefault="00A935E9" w:rsidP="00A935E9">
      <w:pPr>
        <w:jc w:val="center"/>
        <w:rPr>
          <w:rFonts w:cs="Arial"/>
        </w:rPr>
      </w:pPr>
      <w:r w:rsidRPr="00180B68">
        <w:tab/>
      </w:r>
    </w:p>
    <w:p w:rsidR="00A935E9" w:rsidRPr="00180B68" w:rsidRDefault="00A935E9" w:rsidP="00A935E9">
      <w:pPr>
        <w:pStyle w:val="Hlavika"/>
        <w:tabs>
          <w:tab w:val="left" w:pos="1977"/>
        </w:tabs>
        <w:ind w:firstLine="1977"/>
        <w:rPr>
          <w:rFonts w:asciiTheme="minorHAnsi" w:hAnsiTheme="minorHAnsi"/>
          <w:sz w:val="22"/>
          <w:szCs w:val="22"/>
        </w:rPr>
      </w:pPr>
      <w:r w:rsidRPr="00180B68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BACA92A" wp14:editId="49E27438">
            <wp:simplePos x="0" y="0"/>
            <wp:positionH relativeFrom="column">
              <wp:posOffset>2042795</wp:posOffset>
            </wp:positionH>
            <wp:positionV relativeFrom="paragraph">
              <wp:posOffset>-516890</wp:posOffset>
            </wp:positionV>
            <wp:extent cx="1314450" cy="1276350"/>
            <wp:effectExtent l="0" t="0" r="0" b="0"/>
            <wp:wrapNone/>
            <wp:docPr id="4" name="Obrázo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http://www.opotravinach.sk/app/webroot/files/talk_files/MP_web%20ma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B68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F915885" wp14:editId="55FDA76E">
            <wp:simplePos x="0" y="0"/>
            <wp:positionH relativeFrom="column">
              <wp:posOffset>363220</wp:posOffset>
            </wp:positionH>
            <wp:positionV relativeFrom="paragraph">
              <wp:posOffset>-92075</wp:posOffset>
            </wp:positionV>
            <wp:extent cx="558800" cy="471170"/>
            <wp:effectExtent l="0" t="0" r="0" b="5080"/>
            <wp:wrapTight wrapText="bothSides">
              <wp:wrapPolygon edited="0">
                <wp:start x="2209" y="0"/>
                <wp:lineTo x="0" y="13973"/>
                <wp:lineTo x="0" y="19213"/>
                <wp:lineTo x="4418" y="20960"/>
                <wp:lineTo x="16200" y="20960"/>
                <wp:lineTo x="20618" y="19213"/>
                <wp:lineTo x="20618" y="13973"/>
                <wp:lineTo x="16936" y="13973"/>
                <wp:lineTo x="19145" y="9606"/>
                <wp:lineTo x="18409" y="0"/>
                <wp:lineTo x="2209" y="0"/>
              </wp:wrapPolygon>
            </wp:wrapTight>
            <wp:docPr id="5" name="Obrázok 5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0B68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F0CFAE1" wp14:editId="3001745D">
            <wp:simplePos x="0" y="0"/>
            <wp:positionH relativeFrom="column">
              <wp:posOffset>3999230</wp:posOffset>
            </wp:positionH>
            <wp:positionV relativeFrom="paragraph">
              <wp:posOffset>-78740</wp:posOffset>
            </wp:positionV>
            <wp:extent cx="1638935" cy="459740"/>
            <wp:effectExtent l="0" t="0" r="0" b="0"/>
            <wp:wrapTight wrapText="bothSides">
              <wp:wrapPolygon edited="0">
                <wp:start x="0" y="0"/>
                <wp:lineTo x="0" y="20586"/>
                <wp:lineTo x="21341" y="20586"/>
                <wp:lineTo x="21341" y="0"/>
                <wp:lineTo x="0" y="0"/>
              </wp:wrapPolygon>
            </wp:wrapTight>
            <wp:docPr id="9" name="Obrázok 9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5F98" w:rsidRPr="00180B68" w:rsidRDefault="00245F98" w:rsidP="00A935E9">
      <w:pPr>
        <w:tabs>
          <w:tab w:val="left" w:pos="2246"/>
        </w:tabs>
      </w:pPr>
    </w:p>
    <w:p w:rsidR="00A935E9" w:rsidRPr="00180B68" w:rsidRDefault="00A935E9" w:rsidP="00A935E9">
      <w:pPr>
        <w:jc w:val="both"/>
        <w:rPr>
          <w:rFonts w:cs="Arial"/>
          <w:b/>
          <w:sz w:val="28"/>
          <w:szCs w:val="28"/>
        </w:rPr>
      </w:pPr>
      <w:r w:rsidRPr="00180B68">
        <w:rPr>
          <w:rFonts w:cs="Arial"/>
          <w:b/>
          <w:sz w:val="28"/>
          <w:szCs w:val="28"/>
        </w:rPr>
        <w:t>Príloha č. 1 Výročnej správy o vykonávaní IROP za rok 2018</w:t>
      </w:r>
    </w:p>
    <w:p w:rsidR="00A935E9" w:rsidRPr="00180B68" w:rsidRDefault="00A935E9" w:rsidP="00A935E9">
      <w:pPr>
        <w:jc w:val="both"/>
        <w:rPr>
          <w:rFonts w:cs="Arial"/>
          <w:b/>
          <w:sz w:val="28"/>
          <w:szCs w:val="28"/>
        </w:rPr>
      </w:pPr>
      <w:r w:rsidRPr="00180B68">
        <w:rPr>
          <w:rFonts w:cs="Arial"/>
          <w:b/>
          <w:sz w:val="28"/>
          <w:szCs w:val="28"/>
        </w:rPr>
        <w:t>ZHRNUTIE PRE OBČANOV</w:t>
      </w:r>
    </w:p>
    <w:p w:rsidR="00245F98" w:rsidRDefault="00A935E9" w:rsidP="00E772B6">
      <w:pPr>
        <w:spacing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>Hlavným c</w:t>
      </w:r>
      <w:r w:rsidR="003F6EE0" w:rsidRPr="00E772B6">
        <w:rPr>
          <w:rFonts w:ascii="Arial" w:hAnsi="Arial" w:cs="Arial"/>
        </w:rPr>
        <w:t xml:space="preserve">ieľom Integrovaného regionálneho operačného programu (IROP) je prispieť k zlepšeniu kvality života a zabezpečiť udržateľné poskytovanie verejných služieb s dopadom na vyvážený a udržateľný územný rozvoj, hospodársku, územnú a sociálnu súdržnosť regiónov, miest a obcí. </w:t>
      </w:r>
      <w:r w:rsidR="00792E01" w:rsidRPr="00E772B6">
        <w:rPr>
          <w:rFonts w:ascii="Arial" w:hAnsi="Arial" w:cs="Arial"/>
        </w:rPr>
        <w:t>V nasledujúcom tabuľkovom prehľade</w:t>
      </w:r>
      <w:r w:rsidRPr="00E772B6">
        <w:rPr>
          <w:rFonts w:ascii="Arial" w:hAnsi="Arial" w:cs="Arial"/>
        </w:rPr>
        <w:t xml:space="preserve"> je uvedený popis </w:t>
      </w:r>
      <w:r w:rsidR="00245F98" w:rsidRPr="00E772B6">
        <w:rPr>
          <w:rFonts w:ascii="Arial" w:hAnsi="Arial" w:cs="Arial"/>
        </w:rPr>
        <w:t xml:space="preserve">tematického zamerania </w:t>
      </w:r>
      <w:r w:rsidRPr="00E772B6">
        <w:rPr>
          <w:rFonts w:ascii="Arial" w:hAnsi="Arial" w:cs="Arial"/>
        </w:rPr>
        <w:t>jednotlivých špecifických cieľov IROP: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Svetlmriekazvraznenie11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379"/>
      </w:tblGrid>
      <w:tr w:rsidR="00A935E9" w:rsidRPr="00E772B6" w:rsidTr="00A9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2B6">
              <w:rPr>
                <w:rFonts w:ascii="Arial" w:hAnsi="Arial" w:cs="Arial"/>
                <w:bCs w:val="0"/>
                <w:sz w:val="22"/>
                <w:szCs w:val="22"/>
              </w:rPr>
              <w:t>Prioritná os</w:t>
            </w:r>
          </w:p>
        </w:tc>
        <w:tc>
          <w:tcPr>
            <w:tcW w:w="6379" w:type="dxa"/>
            <w:shd w:val="clear" w:color="auto" w:fill="auto"/>
          </w:tcPr>
          <w:p w:rsidR="00A935E9" w:rsidRPr="00E772B6" w:rsidRDefault="00A935E9" w:rsidP="00E772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72B6">
              <w:rPr>
                <w:rFonts w:ascii="Arial" w:hAnsi="Arial" w:cs="Arial"/>
                <w:bCs w:val="0"/>
                <w:sz w:val="22"/>
                <w:szCs w:val="22"/>
              </w:rPr>
              <w:t xml:space="preserve">Špecifické ciele 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2B6">
              <w:rPr>
                <w:rFonts w:ascii="Arial" w:hAnsi="Arial" w:cs="Arial"/>
                <w:bCs w:val="0"/>
                <w:sz w:val="22"/>
                <w:szCs w:val="22"/>
              </w:rPr>
              <w:t xml:space="preserve">1. </w:t>
            </w:r>
            <w:r w:rsidRPr="00E772B6">
              <w:rPr>
                <w:rFonts w:ascii="Arial" w:hAnsi="Arial" w:cs="Arial"/>
                <w:sz w:val="22"/>
                <w:szCs w:val="22"/>
              </w:rPr>
              <w:t>Bezpečná</w:t>
            </w:r>
            <w:r w:rsidRPr="00E772B6">
              <w:rPr>
                <w:rFonts w:ascii="Arial" w:hAnsi="Arial" w:cs="Arial"/>
                <w:bCs w:val="0"/>
                <w:sz w:val="22"/>
                <w:szCs w:val="22"/>
              </w:rPr>
              <w:t xml:space="preserve"> a ekologická doprava v regiónoch</w:t>
            </w:r>
          </w:p>
        </w:tc>
        <w:tc>
          <w:tcPr>
            <w:tcW w:w="6379" w:type="dxa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 xml:space="preserve">1.1 Zlepšenie dostupnosti k cestnej infraštruktúre TEN-T a cestám I. triedy s dôrazom na rozvoj </w:t>
            </w:r>
            <w:proofErr w:type="spellStart"/>
            <w:r w:rsidRPr="00E772B6">
              <w:rPr>
                <w:rFonts w:ascii="Arial" w:hAnsi="Arial" w:cs="Arial"/>
                <w:iCs/>
                <w:sz w:val="22"/>
                <w:szCs w:val="22"/>
              </w:rPr>
              <w:t>multimodálneho</w:t>
            </w:r>
            <w:proofErr w:type="spellEnd"/>
            <w:r w:rsidRPr="00E772B6">
              <w:rPr>
                <w:rFonts w:ascii="Arial" w:hAnsi="Arial" w:cs="Arial"/>
                <w:iCs/>
                <w:sz w:val="22"/>
                <w:szCs w:val="22"/>
              </w:rPr>
              <w:t xml:space="preserve"> dopravného systému</w:t>
            </w: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1.2.1 Zvyšovanie atraktivity a konkurencieschopnosti verejnej osobnej dopravy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1.2.2 Zvýšenie atraktivity a prepravnej kapacity nemotorovej dopravy (predovšetkým cyklistickej dopravy) na celkovom počte prepravených osôb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sz w:val="22"/>
                <w:szCs w:val="22"/>
              </w:rPr>
              <w:t>2.  Ľahší prístup k efektívnym a kvalitnejším verejným službám</w:t>
            </w: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2.1.1 Podporiť prechod poskytovania sociálnych služieb a zabezpečenia výkonu opatrení sociálnoprávnej ochrany detí a sociálnej kurately v zariadení z inštitucionálnej formy na komunitnú a podporiť rozvoj služieb starostlivosti o dieťa do troch rokov veku na komunitnej úrovni</w:t>
            </w: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792E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2.1.2 Modernizovať zdravotnícku infraštruktúru za účelom integrácie primárnej  zdravotnej starostlivosti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2.1.3 Modernizovať infraštruktúru ústavných zariadení poskytujúcich akútnu zdravotnú starostlivosť, za účelom zvýšenia ich produktivity a efektívnosti</w:t>
            </w: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 xml:space="preserve">2.2.1 Zvýšenie hrubej </w:t>
            </w:r>
            <w:proofErr w:type="spellStart"/>
            <w:r w:rsidRPr="00E772B6">
              <w:rPr>
                <w:rFonts w:ascii="Arial" w:hAnsi="Arial" w:cs="Arial"/>
                <w:iCs/>
                <w:sz w:val="22"/>
                <w:szCs w:val="22"/>
              </w:rPr>
              <w:t>zaškolenosti</w:t>
            </w:r>
            <w:proofErr w:type="spellEnd"/>
            <w:r w:rsidRPr="00E772B6">
              <w:rPr>
                <w:rFonts w:ascii="Arial" w:hAnsi="Arial" w:cs="Arial"/>
                <w:iCs/>
                <w:sz w:val="22"/>
                <w:szCs w:val="22"/>
              </w:rPr>
              <w:t xml:space="preserve"> detí  v materských školách</w:t>
            </w: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2.2.2 Zlepšenie kľúčových kompetencií žiakov základných škôl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 xml:space="preserve">2.2.3 Zvýšenie počtu žiakov stredných odborných škôl na praktickom vyučovaní </w:t>
            </w:r>
          </w:p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2B6">
              <w:rPr>
                <w:rFonts w:ascii="Arial" w:hAnsi="Arial" w:cs="Arial"/>
                <w:sz w:val="22"/>
                <w:szCs w:val="22"/>
              </w:rPr>
              <w:lastRenderedPageBreak/>
              <w:t>3.Mobilizácia kreatívneho potenciálu v regiónoch</w:t>
            </w:r>
          </w:p>
        </w:tc>
        <w:tc>
          <w:tcPr>
            <w:tcW w:w="6379" w:type="dxa"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3.1 Stimulovanie podpory udržateľnej zamestnanosti a tvorby pracovných miest v kultúrnom a kreatívnom priemysle prostredníctvom vytvorenia priaznivého prostredia  pre rozvoj kreatívneho talentu, netechnologických inovácií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2B6">
              <w:rPr>
                <w:rFonts w:ascii="Arial" w:hAnsi="Arial" w:cs="Arial"/>
                <w:sz w:val="22"/>
                <w:szCs w:val="22"/>
              </w:rPr>
              <w:t>4. Zlepšenie kvality života v regiónoch s dôrazom na životné prostredie</w:t>
            </w:r>
          </w:p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4.1 Zvýšenie energetickej efektívnosti bytových domov</w:t>
            </w: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eastAsia="Trebuchet MS" w:hAnsi="Arial"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4.2.1 Zvýšenie podielu obyvateľstva so zlepšeným zásobovaním pitnou vodou a odvádzanie a čistenie  odpadových vôd verejnou kanalizáciou bez negatívnych dopadov na životné prostredie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eastAsia="Trebuchet MS" w:hAnsi="Arial"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eastAsia="Trebuchet MS" w:hAnsi="Arial" w:cs="Arial"/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4.3.1 Zlepšenie environmentálnych aspektov v mestách a mestských oblastiach prostredníctvom budovania prvkov zelenej infraštruktúry a adaptáciou urbanizovaného prostredia na zmenu klímy ako aj zavádzaním systémových prvkov znižovania znečistenia ovzdušia a hluku.</w:t>
            </w:r>
          </w:p>
        </w:tc>
      </w:tr>
      <w:tr w:rsidR="00A935E9" w:rsidRPr="00E772B6" w:rsidTr="00E77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sz w:val="22"/>
                <w:szCs w:val="22"/>
              </w:rPr>
              <w:t>5. Miestny rozvoj vedený komunitou</w:t>
            </w:r>
          </w:p>
        </w:tc>
        <w:tc>
          <w:tcPr>
            <w:tcW w:w="6379" w:type="dxa"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5.1.1 Zvýšenie zamestnanosti na miestnej úrovni podporou podnikania a inovácií</w:t>
            </w:r>
            <w:r w:rsidRPr="00E772B6">
              <w:rPr>
                <w:rFonts w:ascii="Arial" w:hAnsi="Arial" w:cs="Arial"/>
                <w:i/>
                <w:sz w:val="22"/>
                <w:szCs w:val="22"/>
              </w:rPr>
              <w:t> </w:t>
            </w: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eastAsia="Trebuchet MS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5.1.2 Zlepšenie udržateľných vzťahov medzi vidieckymi rozvojovými centrami a ich zázemím vo verejných službách a vo verejných infraštruktúrach</w:t>
            </w: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72B6">
              <w:rPr>
                <w:rFonts w:ascii="Arial" w:hAnsi="Arial" w:cs="Arial"/>
                <w:sz w:val="22"/>
                <w:szCs w:val="22"/>
              </w:rPr>
              <w:t>6. Technická pomoc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6.1 Podpora efektívnej implementácie Operačného programu</w:t>
            </w:r>
          </w:p>
        </w:tc>
      </w:tr>
      <w:tr w:rsidR="00A935E9" w:rsidRPr="00E772B6" w:rsidTr="00E772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eastAsia="Trebuchet MS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35E9" w:rsidRPr="00E772B6" w:rsidTr="00A9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eastAsia="Trebuchet MS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79" w:type="dxa"/>
            <w:vMerge w:val="restart"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  <w:r w:rsidRPr="00E772B6">
              <w:rPr>
                <w:rFonts w:ascii="Arial" w:hAnsi="Arial" w:cs="Arial"/>
                <w:iCs/>
                <w:sz w:val="22"/>
                <w:szCs w:val="22"/>
              </w:rPr>
              <w:t>6.2 Zabezpečenie publicity, informovania a podpory prijímateľov v procese implementácie</w:t>
            </w:r>
          </w:p>
        </w:tc>
      </w:tr>
      <w:tr w:rsidR="00A935E9" w:rsidRPr="00E772B6" w:rsidTr="00A93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rPr>
                <w:rFonts w:ascii="Arial" w:eastAsia="Trebuchet MS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A935E9" w:rsidRPr="00E772B6" w:rsidRDefault="00A935E9" w:rsidP="00E772B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245F98" w:rsidRPr="00E772B6" w:rsidRDefault="00245F98" w:rsidP="00E772B6">
      <w:pPr>
        <w:spacing w:after="0" w:line="240" w:lineRule="auto"/>
        <w:jc w:val="both"/>
        <w:rPr>
          <w:rFonts w:ascii="Arial" w:hAnsi="Arial" w:cs="Arial"/>
        </w:rPr>
      </w:pPr>
    </w:p>
    <w:p w:rsidR="00E772B6" w:rsidRDefault="00E772B6" w:rsidP="00E772B6">
      <w:pPr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</w:rPr>
      </w:pPr>
      <w:r w:rsidRPr="00E772B6">
        <w:rPr>
          <w:rFonts w:ascii="Arial" w:hAnsi="Arial" w:cs="Arial"/>
          <w:b/>
        </w:rPr>
        <w:t xml:space="preserve">Hlavné dosiahnuté ciele a úspechy implementácie IROP v roku 2018 </w:t>
      </w:r>
    </w:p>
    <w:p w:rsidR="00E772B6" w:rsidRDefault="00E772B6" w:rsidP="00E772B6">
      <w:pPr>
        <w:tabs>
          <w:tab w:val="left" w:pos="907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V roku 2018 sa Riadiaci orgán pre IROP </w:t>
      </w:r>
      <w:r>
        <w:rPr>
          <w:rFonts w:ascii="Arial" w:hAnsi="Arial" w:cs="Arial"/>
        </w:rPr>
        <w:t>a Sprostredkovateľské orgány</w:t>
      </w:r>
      <w:r w:rsidRPr="00E772B6">
        <w:rPr>
          <w:rFonts w:ascii="Arial" w:hAnsi="Arial" w:cs="Arial"/>
        </w:rPr>
        <w:t xml:space="preserve"> kvôli zrýchleniu procesov implementácie, plnenia cieľov IROP a zvýšenia úrovne čerpania alokovaných finančných prostriedkov sústredil</w:t>
      </w:r>
      <w:r>
        <w:rPr>
          <w:rFonts w:ascii="Arial" w:hAnsi="Arial" w:cs="Arial"/>
        </w:rPr>
        <w:t>i</w:t>
      </w:r>
      <w:r w:rsidRPr="00E772B6">
        <w:rPr>
          <w:rFonts w:ascii="Arial" w:hAnsi="Arial" w:cs="Arial"/>
        </w:rPr>
        <w:t xml:space="preserve"> najmä na nasledovné úlohy a priority:</w:t>
      </w:r>
    </w:p>
    <w:p w:rsidR="00E772B6" w:rsidRPr="00E772B6" w:rsidRDefault="00E772B6" w:rsidP="00E772B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72B6" w:rsidRPr="00E772B6" w:rsidRDefault="00E772B6" w:rsidP="00E772B6">
      <w:pPr>
        <w:pStyle w:val="Odsekzoznamu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 xml:space="preserve">vyhlasovanie výziev/vyzvaní na predkladanie </w:t>
      </w:r>
      <w:proofErr w:type="spellStart"/>
      <w:r w:rsidRPr="00E772B6">
        <w:rPr>
          <w:rFonts w:ascii="Arial" w:hAnsi="Arial" w:cs="Arial"/>
          <w:sz w:val="22"/>
          <w:szCs w:val="22"/>
        </w:rPr>
        <w:t>ŽoNFP</w:t>
      </w:r>
      <w:proofErr w:type="spellEnd"/>
      <w:r w:rsidRPr="00E772B6">
        <w:rPr>
          <w:rFonts w:ascii="Arial" w:hAnsi="Arial" w:cs="Arial"/>
          <w:sz w:val="22"/>
          <w:szCs w:val="22"/>
        </w:rPr>
        <w:t xml:space="preserve"> (ďalej aj „výzva“)</w:t>
      </w:r>
    </w:p>
    <w:p w:rsidR="00E772B6" w:rsidRPr="00E772B6" w:rsidRDefault="00E772B6" w:rsidP="00E772B6">
      <w:pPr>
        <w:pStyle w:val="Odsekzoznamu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 xml:space="preserve">administratívne overenie a odborné hodnotenie predložených </w:t>
      </w:r>
      <w:proofErr w:type="spellStart"/>
      <w:r w:rsidRPr="00E772B6">
        <w:rPr>
          <w:rFonts w:ascii="Arial" w:hAnsi="Arial" w:cs="Arial"/>
          <w:sz w:val="22"/>
          <w:szCs w:val="22"/>
        </w:rPr>
        <w:t>ŽoNFP</w:t>
      </w:r>
      <w:proofErr w:type="spellEnd"/>
      <w:r w:rsidRPr="00E772B6">
        <w:rPr>
          <w:rFonts w:ascii="Arial" w:hAnsi="Arial" w:cs="Arial"/>
          <w:sz w:val="22"/>
          <w:szCs w:val="22"/>
        </w:rPr>
        <w:t xml:space="preserve">, zabezpečenie procesu odborného hodnotenia </w:t>
      </w:r>
      <w:proofErr w:type="spellStart"/>
      <w:r w:rsidRPr="00E772B6">
        <w:rPr>
          <w:rFonts w:ascii="Arial" w:hAnsi="Arial" w:cs="Arial"/>
          <w:sz w:val="22"/>
          <w:szCs w:val="22"/>
        </w:rPr>
        <w:t>ŽoNFP</w:t>
      </w:r>
      <w:proofErr w:type="spellEnd"/>
      <w:r w:rsidRPr="00E772B6">
        <w:rPr>
          <w:rFonts w:ascii="Arial" w:hAnsi="Arial" w:cs="Arial"/>
          <w:sz w:val="22"/>
          <w:szCs w:val="22"/>
        </w:rPr>
        <w:t xml:space="preserve"> externými hodnotiteľmi na RO a SO</w:t>
      </w:r>
    </w:p>
    <w:p w:rsidR="00E772B6" w:rsidRPr="00E772B6" w:rsidRDefault="00E772B6" w:rsidP="00E772B6">
      <w:pPr>
        <w:pStyle w:val="Odsekzoznamu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 xml:space="preserve">prípravu rozhodnutí o schválení/neschválení/zastavení </w:t>
      </w:r>
      <w:proofErr w:type="spellStart"/>
      <w:r w:rsidRPr="00E772B6">
        <w:rPr>
          <w:rFonts w:ascii="Arial" w:hAnsi="Arial" w:cs="Arial"/>
          <w:sz w:val="22"/>
          <w:szCs w:val="22"/>
        </w:rPr>
        <w:t>ŽoNFP</w:t>
      </w:r>
      <w:proofErr w:type="spellEnd"/>
    </w:p>
    <w:p w:rsidR="00E772B6" w:rsidRDefault="00E772B6" w:rsidP="00E772B6">
      <w:pPr>
        <w:pStyle w:val="Odsekzoznamu"/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>prípravu zmlúv o poskytnutí NFP</w:t>
      </w:r>
    </w:p>
    <w:p w:rsidR="00E772B6" w:rsidRPr="00E772B6" w:rsidRDefault="00E772B6" w:rsidP="00E772B6">
      <w:pPr>
        <w:pStyle w:val="Odsekzoznamu"/>
        <w:tabs>
          <w:tab w:val="left" w:pos="90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772B6" w:rsidRDefault="00E772B6" w:rsidP="00E772B6">
      <w:pPr>
        <w:spacing w:before="120" w:after="0" w:line="240" w:lineRule="auto"/>
        <w:ind w:right="57"/>
        <w:jc w:val="both"/>
        <w:rPr>
          <w:rFonts w:ascii="Arial" w:hAnsi="Arial" w:cs="Arial"/>
        </w:rPr>
      </w:pPr>
      <w:r w:rsidRPr="00E772B6">
        <w:rPr>
          <w:rFonts w:ascii="Arial" w:hAnsi="Arial" w:cs="Arial"/>
          <w:b/>
        </w:rPr>
        <w:t>Zameranie vyhlásených výziev/písomných vyzvaní</w:t>
      </w:r>
      <w:r w:rsidRPr="00E772B6">
        <w:rPr>
          <w:rFonts w:ascii="Arial" w:hAnsi="Arial" w:cs="Arial"/>
        </w:rPr>
        <w:t xml:space="preserve"> </w:t>
      </w:r>
    </w:p>
    <w:p w:rsidR="00E772B6" w:rsidRPr="00E772B6" w:rsidRDefault="00E772B6" w:rsidP="00E772B6">
      <w:pPr>
        <w:spacing w:before="120"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Hlavným nástrojom zabezpečenia plnenia cieľov bola príprava a vyhlasovanie výziev na predkladanie </w:t>
      </w:r>
      <w:proofErr w:type="spellStart"/>
      <w:r w:rsidRPr="00E772B6">
        <w:rPr>
          <w:rFonts w:ascii="Arial" w:hAnsi="Arial" w:cs="Arial"/>
        </w:rPr>
        <w:t>ŽoNFP</w:t>
      </w:r>
      <w:proofErr w:type="spellEnd"/>
      <w:r w:rsidRPr="00E772B6">
        <w:rPr>
          <w:rFonts w:ascii="Arial" w:hAnsi="Arial" w:cs="Arial"/>
        </w:rPr>
        <w:t xml:space="preserve"> v súlade s indikatívnym harmonogramom výziev. K 31.12.2018 bolo od začiatku programovacieho obdobia celkovo vyhlásených 38 výziev/vyzvaní v indikatívnej sume 1,53 mld. EUR (zdroj EÚ), čo je 87,9 % z celkovej alokácie IROP.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772B6">
        <w:rPr>
          <w:rFonts w:ascii="Arial" w:eastAsia="Calibri" w:hAnsi="Arial" w:cs="Arial"/>
        </w:rPr>
        <w:t xml:space="preserve">V rámci vyhlásených výziev bolo </w:t>
      </w:r>
      <w:r w:rsidRPr="00E772B6">
        <w:rPr>
          <w:rFonts w:ascii="Arial" w:eastAsia="Calibri" w:hAnsi="Arial" w:cs="Arial"/>
          <w:color w:val="000000"/>
        </w:rPr>
        <w:t xml:space="preserve">predložených 2 677 </w:t>
      </w:r>
      <w:proofErr w:type="spellStart"/>
      <w:r w:rsidRPr="00E772B6">
        <w:rPr>
          <w:rFonts w:ascii="Arial" w:eastAsia="Calibri" w:hAnsi="Arial" w:cs="Arial"/>
          <w:color w:val="000000"/>
        </w:rPr>
        <w:t>ŽoNFP</w:t>
      </w:r>
      <w:proofErr w:type="spellEnd"/>
      <w:r w:rsidRPr="00E772B6">
        <w:rPr>
          <w:rFonts w:ascii="Arial" w:eastAsia="Calibri" w:hAnsi="Arial" w:cs="Arial"/>
          <w:color w:val="000000"/>
        </w:rPr>
        <w:t xml:space="preserve"> v sume 1,43 mld. EUR. Celkovo bolo vydaných 1 186 rozhodnutí o schválení </w:t>
      </w:r>
      <w:proofErr w:type="spellStart"/>
      <w:r w:rsidRPr="00E772B6">
        <w:rPr>
          <w:rFonts w:ascii="Arial" w:eastAsia="Calibri" w:hAnsi="Arial" w:cs="Arial"/>
          <w:color w:val="000000"/>
        </w:rPr>
        <w:t>ŽoNFP</w:t>
      </w:r>
      <w:proofErr w:type="spellEnd"/>
      <w:r w:rsidRPr="00E772B6">
        <w:rPr>
          <w:rFonts w:ascii="Arial" w:eastAsia="Calibri" w:hAnsi="Arial" w:cs="Arial"/>
          <w:color w:val="000000"/>
        </w:rPr>
        <w:t xml:space="preserve"> vo výške 959,7 mil. EUR, z toho je pre 1 064 projektov uzatvorená zmluva o poskytnutí NFP celkovo v sume 835,3 mil. EUR. 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V roku 2018 boli dopytovo-orientované výzvy zamerané najmä na podporu dopravnej infraštruktúry (zlepšenie verejnej autobusovej dopravy), školskej infraštruktúry (podporu stredných odborných škôl), </w:t>
      </w:r>
      <w:proofErr w:type="spellStart"/>
      <w:r w:rsidRPr="00E772B6">
        <w:rPr>
          <w:rFonts w:ascii="Arial" w:hAnsi="Arial" w:cs="Arial"/>
        </w:rPr>
        <w:t>deinštitucionalizáciu</w:t>
      </w:r>
      <w:proofErr w:type="spellEnd"/>
      <w:r w:rsidRPr="00E772B6">
        <w:rPr>
          <w:rFonts w:ascii="Arial" w:hAnsi="Arial" w:cs="Arial"/>
        </w:rPr>
        <w:t xml:space="preserve"> poskytovania sociálnych služieb, </w:t>
      </w:r>
      <w:r w:rsidRPr="00E772B6">
        <w:rPr>
          <w:rFonts w:ascii="Arial" w:hAnsi="Arial" w:cs="Arial"/>
        </w:rPr>
        <w:lastRenderedPageBreak/>
        <w:t>modernizáciu infraštruktúry polikliník a zlepšenie životného prostredia (podporu prvkov zelenej infraštruktúry, zásobovania pitnou vodou, verejnej kanalizácie).</w:t>
      </w:r>
    </w:p>
    <w:p w:rsidR="00E772B6" w:rsidRDefault="00E772B6" w:rsidP="00E772B6">
      <w:pPr>
        <w:spacing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>V súlade so schválených indikatívnym harmonogramom výziev plánuje RO vyhlásiť v roku 2019 ďalších 9 výziev spolu v sume 445,13 mil. EUR.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hAnsi="Arial" w:cs="Arial"/>
        </w:rPr>
      </w:pPr>
    </w:p>
    <w:p w:rsidR="00E772B6" w:rsidRDefault="00E772B6" w:rsidP="00E772B6">
      <w:pPr>
        <w:spacing w:before="120" w:after="0" w:line="240" w:lineRule="auto"/>
        <w:jc w:val="both"/>
        <w:rPr>
          <w:rFonts w:ascii="Arial" w:hAnsi="Arial" w:cs="Arial"/>
          <w:b/>
        </w:rPr>
      </w:pPr>
      <w:r w:rsidRPr="00E772B6">
        <w:rPr>
          <w:rFonts w:ascii="Arial" w:hAnsi="Arial" w:cs="Arial"/>
          <w:b/>
        </w:rPr>
        <w:t>Pokrok v kontrahovaní a čerpaní alokácie programu</w:t>
      </w:r>
    </w:p>
    <w:p w:rsidR="00E772B6" w:rsidRDefault="00E772B6" w:rsidP="00E772B6">
      <w:pPr>
        <w:spacing w:before="120"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>K 31.12.2018 predstavovalo kontrahovanie 834,26 mil. EUR, t.j. 47,98%.</w:t>
      </w:r>
      <w:r>
        <w:rPr>
          <w:rFonts w:ascii="Arial" w:hAnsi="Arial" w:cs="Arial"/>
        </w:rPr>
        <w:t xml:space="preserve"> </w:t>
      </w:r>
    </w:p>
    <w:p w:rsidR="00E772B6" w:rsidRDefault="00E772B6" w:rsidP="00E772B6">
      <w:pPr>
        <w:spacing w:before="120"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Čerpanie prostriedkov EÚ po zohľadnení nezrovnalostí a </w:t>
      </w:r>
      <w:proofErr w:type="spellStart"/>
      <w:r w:rsidRPr="00E772B6">
        <w:rPr>
          <w:rFonts w:ascii="Arial" w:hAnsi="Arial" w:cs="Arial"/>
        </w:rPr>
        <w:t>vratiek</w:t>
      </w:r>
      <w:proofErr w:type="spellEnd"/>
      <w:r w:rsidRPr="00E772B6">
        <w:rPr>
          <w:rFonts w:ascii="Arial" w:hAnsi="Arial" w:cs="Arial"/>
        </w:rPr>
        <w:t xml:space="preserve"> v rámci IROP dosiahlo výšku 210,21 mil. EUR, čo predstavuje 12,09 % -</w:t>
      </w:r>
      <w:proofErr w:type="spellStart"/>
      <w:r w:rsidRPr="00E772B6">
        <w:rPr>
          <w:rFonts w:ascii="Arial" w:hAnsi="Arial" w:cs="Arial"/>
        </w:rPr>
        <w:t>ný</w:t>
      </w:r>
      <w:proofErr w:type="spellEnd"/>
      <w:r w:rsidRPr="00E772B6">
        <w:rPr>
          <w:rFonts w:ascii="Arial" w:hAnsi="Arial" w:cs="Arial"/>
        </w:rPr>
        <w:t xml:space="preserve"> podiel čerpania prostriedkov EÚ na celkovej alokácii (1 738 834 120,00 EUR). 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hAnsi="Arial" w:cs="Arial"/>
        </w:rPr>
      </w:pPr>
    </w:p>
    <w:p w:rsidR="00E772B6" w:rsidRDefault="00E772B6" w:rsidP="00E772B6">
      <w:pPr>
        <w:spacing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>Pokrok v čerpaní oproti stavu k 31.12.2017 predstavuje nárast o 7,49 p. b., t. j. o 130,32 mil. EUR za zdroj EÚ (z toho prostriedky za finančné nástroje: 85,34 mil. EUR).</w:t>
      </w:r>
      <w:r>
        <w:rPr>
          <w:rFonts w:ascii="Arial" w:hAnsi="Arial" w:cs="Arial"/>
        </w:rPr>
        <w:t xml:space="preserve"> </w:t>
      </w:r>
      <w:r w:rsidRPr="00E772B6">
        <w:rPr>
          <w:rFonts w:ascii="Arial" w:hAnsi="Arial" w:cs="Arial"/>
        </w:rPr>
        <w:t>Najvyššie čerpanie bolo v rámci PO 4 na úrovni 56,75 %, ktorá obsahuje čerpanie za finančné nástroje, druhou najvyššie čerpanou prioritnou osou je PO 6 na úrovni 36,12 %.</w:t>
      </w:r>
    </w:p>
    <w:p w:rsidR="00E772B6" w:rsidRDefault="00E772B6" w:rsidP="00E772B6">
      <w:pPr>
        <w:spacing w:after="0" w:line="240" w:lineRule="auto"/>
        <w:jc w:val="both"/>
        <w:rPr>
          <w:rFonts w:ascii="Arial" w:hAnsi="Arial" w:cs="Arial"/>
        </w:rPr>
      </w:pPr>
    </w:p>
    <w:p w:rsidR="00A55C72" w:rsidRPr="00A55C72" w:rsidRDefault="00A55C72" w:rsidP="00A55C72">
      <w:pPr>
        <w:spacing w:before="120" w:after="0" w:line="240" w:lineRule="auto"/>
        <w:jc w:val="both"/>
        <w:rPr>
          <w:rFonts w:ascii="Arial" w:hAnsi="Arial" w:cs="Arial"/>
        </w:rPr>
      </w:pPr>
      <w:r w:rsidRPr="00A55C72">
        <w:rPr>
          <w:rFonts w:ascii="Arial" w:hAnsi="Arial" w:cs="Arial"/>
        </w:rPr>
        <w:t xml:space="preserve">Po pomalšom nábehu implementácie IROP z prevažne externých príčin je v rámci čiastkového hodnotenia k 31.12.2018 možné konštatovať, že sa podarilo dosiahnuť výrazný nárast objemu </w:t>
      </w:r>
      <w:proofErr w:type="spellStart"/>
      <w:r w:rsidRPr="00A55C72">
        <w:rPr>
          <w:rFonts w:ascii="Arial" w:hAnsi="Arial" w:cs="Arial"/>
        </w:rPr>
        <w:t>zazmluvnených</w:t>
      </w:r>
      <w:proofErr w:type="spellEnd"/>
      <w:r w:rsidRPr="00A55C72">
        <w:rPr>
          <w:rFonts w:ascii="Arial" w:hAnsi="Arial" w:cs="Arial"/>
        </w:rPr>
        <w:t xml:space="preserve"> projektov. Tento vývoj predstavuje základný predpoklad pre zrýchlenie ďalšieho čerpania alokovaných prostriedkov po zvyšok súčasného programového obdobia. Vzhľadom na vysokú mieru kontrahovania je realistické očakávať, že ciele väčšiny PO budú v rámci súčasného programového obdobia naplnené.</w:t>
      </w:r>
    </w:p>
    <w:p w:rsidR="00A55C72" w:rsidRPr="00A55C72" w:rsidRDefault="00A55C72" w:rsidP="00A55C72">
      <w:pPr>
        <w:spacing w:before="120" w:after="0" w:line="240" w:lineRule="auto"/>
        <w:jc w:val="both"/>
        <w:rPr>
          <w:rFonts w:ascii="Arial" w:hAnsi="Arial" w:cs="Arial"/>
        </w:rPr>
      </w:pPr>
      <w:r w:rsidRPr="00A55C72">
        <w:rPr>
          <w:rFonts w:ascii="Arial" w:hAnsi="Arial" w:cs="Arial"/>
        </w:rPr>
        <w:t xml:space="preserve">Záujem žiadateľov o podporu z IROP je vo všeobecnosti vysoký, čo vytvára priestor pre naplnenie cieľov v rámci väčšiny PO. Súčasné nastavenie OP sa ukázalo ako opodstatnené v prípade PO 1 a PO 4. Nakoľko v týchto PO existuje prirodzene vysoká absorpčná kapacita žiadateľov, stanovené koncové ciele IROP sa pri týchto PO s veľkou pravdepodobnosťou podarí do konca programového obdobia prekročiť. Úspešnosť možno deklarovať aj pri kontrahovaní v prípade PO 2. V rámci PO 2 zostáva problematický ŠC 2.1.1, ktorý je zameraný na </w:t>
      </w:r>
      <w:proofErr w:type="spellStart"/>
      <w:r w:rsidRPr="00A55C72">
        <w:rPr>
          <w:rFonts w:ascii="Arial" w:hAnsi="Arial" w:cs="Arial"/>
        </w:rPr>
        <w:t>deinšticionalizáciu</w:t>
      </w:r>
      <w:proofErr w:type="spellEnd"/>
      <w:r w:rsidRPr="00A55C72">
        <w:rPr>
          <w:rFonts w:ascii="Arial" w:hAnsi="Arial" w:cs="Arial"/>
        </w:rPr>
        <w:t xml:space="preserve"> sociálnych zariadení. Kontrahovanie prostriedkov</w:t>
      </w:r>
      <w:r>
        <w:rPr>
          <w:rFonts w:ascii="Arial" w:hAnsi="Arial" w:cs="Arial"/>
        </w:rPr>
        <w:t xml:space="preserve"> </w:t>
      </w:r>
      <w:r w:rsidRPr="00A55C72">
        <w:rPr>
          <w:rFonts w:ascii="Arial" w:hAnsi="Arial" w:cs="Arial"/>
        </w:rPr>
        <w:t xml:space="preserve">v rámci PO 5 je zatiaľ len priemerné vzhľadom na špecifickosť a komplikovanosť jej obsahového zamerania a taktiež vplyv externých faktorov, vykazuje ale priestor na ďalšie zefektívnenie čerpania. Neuspokojivá je situácia v rámci PO 3, ktorá vykazuje nulové čerpanie a kontrahovanie vzhľadom na súvisiace problémy s nastavením výziev. </w:t>
      </w:r>
    </w:p>
    <w:p w:rsidR="00A55C72" w:rsidRPr="00E772B6" w:rsidRDefault="00A55C72" w:rsidP="00A55C72">
      <w:pPr>
        <w:spacing w:before="120" w:after="0" w:line="240" w:lineRule="auto"/>
        <w:jc w:val="both"/>
        <w:rPr>
          <w:rFonts w:ascii="Arial" w:hAnsi="Arial" w:cs="Arial"/>
        </w:rPr>
      </w:pPr>
      <w:r w:rsidRPr="00A55C72">
        <w:rPr>
          <w:rFonts w:ascii="Arial" w:hAnsi="Arial" w:cs="Arial"/>
        </w:rPr>
        <w:t>Napriek dosiaľ celkovo vysokej miere kontrahovania alokovaných zdrojov sa IROP vyznačuje relatívne nízkou mierou čerpania. Tento stav vyplýva predovšetkým z oneskoreného začiatku implementácie súvisiaceho s nastavením komplexného systému IROP. Prvé dopytovo orientované výzvy boli vyhlásené až v októbri 2016, pričom kontrahovanie sa začalo až v auguste 2017. Vzhľadom na skutočnosť, že v rámci výziev IROP výrazne prevažujú investičné projekty stavebného charakteru s projektovým cyklom 2 roky, je realistické očakávať, že miera čerpania sa výrazne začne zvyšovať od roku 2019.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hAnsi="Arial" w:cs="Arial"/>
          <w:b/>
        </w:rPr>
      </w:pPr>
    </w:p>
    <w:p w:rsidR="00F22143" w:rsidRDefault="005E6B6B" w:rsidP="00E772B6">
      <w:pPr>
        <w:spacing w:after="0" w:line="240" w:lineRule="auto"/>
        <w:jc w:val="both"/>
        <w:rPr>
          <w:rFonts w:ascii="Arial" w:hAnsi="Arial" w:cs="Arial"/>
          <w:b/>
        </w:rPr>
      </w:pPr>
      <w:r w:rsidRPr="00E772B6">
        <w:rPr>
          <w:rFonts w:ascii="Arial" w:hAnsi="Arial" w:cs="Arial"/>
          <w:b/>
        </w:rPr>
        <w:t xml:space="preserve">Príklady </w:t>
      </w:r>
      <w:r w:rsidR="00930C3F" w:rsidRPr="00E772B6">
        <w:rPr>
          <w:rFonts w:ascii="Arial" w:hAnsi="Arial" w:cs="Arial"/>
          <w:b/>
        </w:rPr>
        <w:t xml:space="preserve">projektov, ktoré </w:t>
      </w:r>
      <w:r w:rsidR="00180B68" w:rsidRPr="00E772B6">
        <w:rPr>
          <w:rFonts w:ascii="Arial" w:hAnsi="Arial" w:cs="Arial"/>
          <w:b/>
        </w:rPr>
        <w:t>sú</w:t>
      </w:r>
      <w:r w:rsidR="00930C3F" w:rsidRPr="00E772B6">
        <w:rPr>
          <w:rFonts w:ascii="Arial" w:hAnsi="Arial" w:cs="Arial"/>
          <w:b/>
        </w:rPr>
        <w:t xml:space="preserve"> realizované v rámci IROP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hAnsi="Arial" w:cs="Arial"/>
          <w:b/>
        </w:rPr>
      </w:pPr>
    </w:p>
    <w:p w:rsidR="005E6B6B" w:rsidRPr="00E772B6" w:rsidRDefault="005E6B6B" w:rsidP="00E772B6">
      <w:pPr>
        <w:pStyle w:val="Odsekzoznamu"/>
        <w:numPr>
          <w:ilvl w:val="0"/>
          <w:numId w:val="8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772B6">
        <w:rPr>
          <w:rFonts w:ascii="Arial" w:hAnsi="Arial" w:cs="Arial"/>
          <w:b/>
          <w:sz w:val="22"/>
          <w:szCs w:val="22"/>
        </w:rPr>
        <w:t>Materská škola v</w:t>
      </w:r>
      <w:r w:rsidR="00E772B6" w:rsidRPr="00E772B6">
        <w:rPr>
          <w:rFonts w:ascii="Arial" w:hAnsi="Arial" w:cs="Arial"/>
          <w:b/>
          <w:sz w:val="22"/>
          <w:szCs w:val="22"/>
        </w:rPr>
        <w:t> </w:t>
      </w:r>
      <w:r w:rsidRPr="00E772B6">
        <w:rPr>
          <w:rFonts w:ascii="Arial" w:hAnsi="Arial" w:cs="Arial"/>
          <w:b/>
          <w:sz w:val="22"/>
          <w:szCs w:val="22"/>
        </w:rPr>
        <w:t>Hronseku</w:t>
      </w:r>
    </w:p>
    <w:p w:rsidR="00E772B6" w:rsidRPr="00E772B6" w:rsidRDefault="00E772B6" w:rsidP="00E772B6">
      <w:pPr>
        <w:pStyle w:val="Odsekzoznamu"/>
        <w:spacing w:before="120"/>
        <w:jc w:val="both"/>
        <w:rPr>
          <w:rFonts w:ascii="Arial" w:hAnsi="Arial" w:cs="Arial"/>
          <w:b/>
        </w:rPr>
      </w:pPr>
    </w:p>
    <w:p w:rsidR="00E772B6" w:rsidRPr="00E772B6" w:rsidRDefault="00E772B6" w:rsidP="00E772B6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>Prijímateľ: Obec Hronsek</w:t>
      </w:r>
    </w:p>
    <w:p w:rsidR="00E772B6" w:rsidRPr="00E772B6" w:rsidRDefault="00E772B6" w:rsidP="00E772B6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>Celkové oprávnené náklady projektu: 132 637,22 EUR</w:t>
      </w:r>
    </w:p>
    <w:p w:rsidR="00E772B6" w:rsidRPr="00E772B6" w:rsidRDefault="00E772B6" w:rsidP="00E772B6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>Z toho zdroj EÚ a štátneho rozpočtu: 126 005,36 EUR</w:t>
      </w:r>
    </w:p>
    <w:p w:rsidR="00E772B6" w:rsidRPr="00E772B6" w:rsidRDefault="00E772B6" w:rsidP="00E772B6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>Vlastné zdroje: 6 631,86 EUR</w:t>
      </w:r>
    </w:p>
    <w:p w:rsidR="00E772B6" w:rsidRPr="00E772B6" w:rsidRDefault="00E772B6" w:rsidP="00E772B6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E772B6">
        <w:rPr>
          <w:rFonts w:ascii="Arial" w:hAnsi="Arial" w:cs="Arial"/>
          <w:sz w:val="22"/>
          <w:szCs w:val="22"/>
        </w:rPr>
        <w:t>Doba realizácie projektu: december 2017</w:t>
      </w:r>
      <w:r w:rsidR="009B6B90">
        <w:rPr>
          <w:rFonts w:ascii="Arial" w:hAnsi="Arial" w:cs="Arial"/>
          <w:sz w:val="22"/>
          <w:szCs w:val="22"/>
        </w:rPr>
        <w:t xml:space="preserve"> </w:t>
      </w:r>
      <w:r w:rsidRPr="00E772B6">
        <w:rPr>
          <w:rFonts w:ascii="Arial" w:hAnsi="Arial" w:cs="Arial"/>
          <w:sz w:val="22"/>
          <w:szCs w:val="22"/>
        </w:rPr>
        <w:t>- november 2018</w:t>
      </w:r>
    </w:p>
    <w:p w:rsidR="005E6B6B" w:rsidRPr="00E772B6" w:rsidRDefault="005E6B6B" w:rsidP="00E772B6">
      <w:pPr>
        <w:spacing w:before="120"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lastRenderedPageBreak/>
        <w:t xml:space="preserve">Cieľom projektu ,,Materská škola v Hronseku“ bolo zabezpečiť poskytovanie verejných služieb v obci Hronsek v oblasti </w:t>
      </w:r>
      <w:proofErr w:type="spellStart"/>
      <w:r w:rsidRPr="00E772B6">
        <w:rPr>
          <w:rFonts w:ascii="Arial" w:hAnsi="Arial" w:cs="Arial"/>
        </w:rPr>
        <w:t>predprimárneho</w:t>
      </w:r>
      <w:proofErr w:type="spellEnd"/>
      <w:r w:rsidRPr="00E772B6">
        <w:rPr>
          <w:rFonts w:ascii="Arial" w:hAnsi="Arial" w:cs="Arial"/>
        </w:rPr>
        <w:t xml:space="preserve"> vzdelávania úpravou/prestavbou príležitostne využívaných priestorov nachádzajúcich sa v rámci obecného úradu (kultúrneho domu) pre potreby zriadenia jednotriednej materskej školy s prvkami </w:t>
      </w:r>
      <w:proofErr w:type="spellStart"/>
      <w:r w:rsidRPr="00E772B6">
        <w:rPr>
          <w:rFonts w:ascii="Arial" w:hAnsi="Arial" w:cs="Arial"/>
        </w:rPr>
        <w:t>inkluzívneho</w:t>
      </w:r>
      <w:proofErr w:type="spellEnd"/>
      <w:r w:rsidRPr="00E772B6">
        <w:rPr>
          <w:rFonts w:ascii="Arial" w:hAnsi="Arial" w:cs="Arial"/>
        </w:rPr>
        <w:t xml:space="preserve"> vzdelávania.</w:t>
      </w:r>
    </w:p>
    <w:p w:rsidR="005E6B6B" w:rsidRPr="00E772B6" w:rsidRDefault="005E6B6B" w:rsidP="00E772B6">
      <w:pPr>
        <w:spacing w:before="120" w:after="0" w:line="240" w:lineRule="auto"/>
        <w:jc w:val="both"/>
        <w:rPr>
          <w:rFonts w:ascii="Arial" w:hAnsi="Arial" w:cs="Arial"/>
        </w:rPr>
      </w:pPr>
      <w:r w:rsidRPr="00E772B6">
        <w:rPr>
          <w:rFonts w:ascii="Arial" w:hAnsi="Arial" w:cs="Arial"/>
        </w:rPr>
        <w:t>V obci Hronsek sa predtým nenachádzala materská škola</w:t>
      </w:r>
      <w:r w:rsidR="00357145" w:rsidRPr="00E772B6">
        <w:rPr>
          <w:rFonts w:ascii="Arial" w:hAnsi="Arial" w:cs="Arial"/>
        </w:rPr>
        <w:t>.</w:t>
      </w:r>
      <w:r w:rsidRPr="00E772B6">
        <w:rPr>
          <w:rFonts w:ascii="Arial" w:hAnsi="Arial" w:cs="Arial"/>
        </w:rPr>
        <w:t xml:space="preserve"> Realizáciou projektu sa vytvorili nové kapacity pre umiestnenie 20 detí. V rámci projektu bol vytvorený bezbariérový prístup pre deti s obmedzenou pohyblivosťou. Vďaka výmene zdroja tepla a vykurovacieho systému sa dosiahla úspora energií oproti pôvodnému stavu. </w:t>
      </w:r>
    </w:p>
    <w:p w:rsidR="005E6B6B" w:rsidRPr="00E772B6" w:rsidRDefault="005E6B6B" w:rsidP="00E772B6">
      <w:pPr>
        <w:spacing w:after="0" w:line="240" w:lineRule="auto"/>
        <w:jc w:val="both"/>
        <w:rPr>
          <w:rFonts w:ascii="Arial" w:hAnsi="Arial" w:cs="Arial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180B68" w:rsidP="00E772B6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b/>
        </w:rPr>
      </w:pPr>
      <w:proofErr w:type="spellStart"/>
      <w:r w:rsidRPr="00E772B6">
        <w:rPr>
          <w:rFonts w:ascii="Arial" w:hAnsi="Arial" w:cs="Arial"/>
          <w:b/>
        </w:rPr>
        <w:t>Cyklochodník</w:t>
      </w:r>
      <w:proofErr w:type="spellEnd"/>
      <w:r w:rsidRPr="00E772B6">
        <w:rPr>
          <w:rFonts w:ascii="Arial" w:hAnsi="Arial" w:cs="Arial"/>
          <w:b/>
        </w:rPr>
        <w:t xml:space="preserve"> ul. Bajkalská (Prešov – Veľký Šariš) </w:t>
      </w:r>
    </w:p>
    <w:p w:rsidR="00E772B6" w:rsidRPr="00E772B6" w:rsidRDefault="00E772B6" w:rsidP="00E772B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772B6">
        <w:rPr>
          <w:rFonts w:ascii="Arial" w:hAnsi="Arial" w:cs="Arial"/>
          <w:bCs/>
        </w:rPr>
        <w:t xml:space="preserve">Prijímateľ: </w:t>
      </w:r>
      <w:r w:rsidRPr="00E772B6">
        <w:rPr>
          <w:rFonts w:ascii="Arial" w:hAnsi="Arial" w:cs="Arial"/>
        </w:rPr>
        <w:t>Mesto Prešov</w:t>
      </w: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hAnsi="Arial" w:cs="Arial"/>
          <w:bCs/>
        </w:rPr>
        <w:t xml:space="preserve">Celkové oprávnené náklady projektu: </w:t>
      </w:r>
      <w:r w:rsidRPr="00E772B6">
        <w:rPr>
          <w:rFonts w:ascii="Arial" w:hAnsi="Arial" w:cs="Arial"/>
        </w:rPr>
        <w:t>148 358,67 EUR</w:t>
      </w: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hAnsi="Arial" w:cs="Arial"/>
          <w:bCs/>
        </w:rPr>
        <w:t xml:space="preserve">Z toho zdroj EÚ a štátneho rozpočtu: </w:t>
      </w:r>
      <w:r w:rsidRPr="00E772B6">
        <w:rPr>
          <w:rFonts w:ascii="Arial" w:hAnsi="Arial" w:cs="Arial"/>
        </w:rPr>
        <w:t>140 940,74 EUR</w:t>
      </w:r>
      <w:r w:rsidRPr="00E772B6">
        <w:rPr>
          <w:rFonts w:ascii="Arial" w:eastAsia="Times New Roman" w:hAnsi="Arial" w:cs="Arial"/>
          <w:bCs/>
          <w:lang w:eastAsia="sk-SK"/>
        </w:rPr>
        <w:t xml:space="preserve"> </w:t>
      </w: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hAnsi="Arial" w:cs="Arial"/>
          <w:bCs/>
        </w:rPr>
        <w:t>Vlastné zdroje:</w:t>
      </w:r>
      <w:r w:rsidRPr="00E772B6">
        <w:rPr>
          <w:rFonts w:ascii="Arial" w:eastAsia="Times New Roman" w:hAnsi="Arial" w:cs="Arial"/>
          <w:bCs/>
          <w:lang w:eastAsia="sk-SK"/>
        </w:rPr>
        <w:t xml:space="preserve"> </w:t>
      </w:r>
      <w:r w:rsidRPr="00E772B6">
        <w:rPr>
          <w:rFonts w:ascii="Arial" w:hAnsi="Arial" w:cs="Arial"/>
        </w:rPr>
        <w:t>7 417,93 EUR</w:t>
      </w:r>
    </w:p>
    <w:p w:rsidR="009B6B90" w:rsidRDefault="009B6B90" w:rsidP="009B6B9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772B6">
        <w:rPr>
          <w:rFonts w:ascii="Arial" w:hAnsi="Arial" w:cs="Arial"/>
          <w:bCs/>
        </w:rPr>
        <w:t>Doba realizácie projektu:</w:t>
      </w:r>
      <w:r w:rsidRPr="00E772B6">
        <w:rPr>
          <w:rFonts w:ascii="Arial" w:eastAsia="Times New Roman" w:hAnsi="Arial" w:cs="Arial"/>
          <w:lang w:eastAsia="sk-SK"/>
        </w:rPr>
        <w:t xml:space="preserve"> </w:t>
      </w:r>
      <w:r w:rsidRPr="00E772B6">
        <w:rPr>
          <w:rFonts w:ascii="Arial" w:hAnsi="Arial" w:cs="Arial"/>
        </w:rPr>
        <w:t>marec 2017 - júl 2018</w:t>
      </w:r>
    </w:p>
    <w:p w:rsidR="009B6B90" w:rsidRPr="00E772B6" w:rsidRDefault="009B6B90" w:rsidP="009B6B90">
      <w:pPr>
        <w:spacing w:after="0" w:line="240" w:lineRule="auto"/>
        <w:jc w:val="both"/>
        <w:rPr>
          <w:rFonts w:ascii="Arial" w:hAnsi="Arial" w:cs="Arial"/>
        </w:rPr>
      </w:pPr>
    </w:p>
    <w:p w:rsidR="005E6B6B" w:rsidRPr="00E772B6" w:rsidRDefault="005E6B6B" w:rsidP="009B6B90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eastAsia="Times New Roman" w:hAnsi="Arial" w:cs="Arial"/>
          <w:bCs/>
          <w:lang w:eastAsia="sk-SK"/>
        </w:rPr>
        <w:t>Cieľom projektu</w:t>
      </w:r>
      <w:r w:rsidRPr="00E772B6">
        <w:rPr>
          <w:rFonts w:ascii="Arial" w:eastAsia="Times New Roman" w:hAnsi="Arial" w:cs="Arial"/>
          <w:lang w:eastAsia="sk-SK"/>
        </w:rPr>
        <w:t xml:space="preserve"> bolo zvýšenie bezpečnosti účastníkov nemotorovej dopravy vybudovaním novej</w:t>
      </w:r>
      <w:r w:rsidR="00357145" w:rsidRPr="00E772B6">
        <w:rPr>
          <w:rFonts w:ascii="Arial" w:eastAsia="Times New Roman" w:hAnsi="Arial" w:cs="Arial"/>
          <w:lang w:eastAsia="sk-SK"/>
        </w:rPr>
        <w:t>,</w:t>
      </w:r>
      <w:r w:rsidRPr="00E772B6">
        <w:rPr>
          <w:rFonts w:ascii="Arial" w:eastAsia="Times New Roman" w:hAnsi="Arial" w:cs="Arial"/>
          <w:lang w:eastAsia="sk-SK"/>
        </w:rPr>
        <w:t xml:space="preserve"> samostatnej cyklistickej komunikácie a</w:t>
      </w:r>
      <w:r w:rsidR="00064D7C" w:rsidRPr="00E772B6">
        <w:rPr>
          <w:rFonts w:ascii="Arial" w:eastAsia="Times New Roman" w:hAnsi="Arial" w:cs="Arial"/>
          <w:lang w:eastAsia="sk-SK"/>
        </w:rPr>
        <w:t xml:space="preserve"> tým celkové </w:t>
      </w:r>
      <w:r w:rsidRPr="00E772B6">
        <w:rPr>
          <w:rFonts w:ascii="Arial" w:eastAsia="Times New Roman" w:hAnsi="Arial" w:cs="Arial"/>
          <w:lang w:eastAsia="sk-SK"/>
        </w:rPr>
        <w:t xml:space="preserve">zvýšenie atraktivity cyklistickej dopravy. </w:t>
      </w:r>
    </w:p>
    <w:p w:rsidR="00064D7C" w:rsidRPr="00E772B6" w:rsidRDefault="005E6B6B" w:rsidP="009B6B90">
      <w:pPr>
        <w:spacing w:before="120" w:after="0" w:line="240" w:lineRule="auto"/>
        <w:jc w:val="both"/>
        <w:rPr>
          <w:rFonts w:ascii="Arial" w:hAnsi="Arial" w:cs="Arial"/>
        </w:rPr>
      </w:pPr>
      <w:r w:rsidRPr="00E772B6">
        <w:rPr>
          <w:rFonts w:ascii="Arial" w:eastAsia="Times New Roman" w:hAnsi="Arial" w:cs="Arial"/>
          <w:lang w:eastAsia="sk-SK"/>
        </w:rPr>
        <w:t>V rámci projektu bola vybudovaná nová cyklistick</w:t>
      </w:r>
      <w:r w:rsidR="00064D7C" w:rsidRPr="00E772B6">
        <w:rPr>
          <w:rFonts w:ascii="Arial" w:eastAsia="Times New Roman" w:hAnsi="Arial" w:cs="Arial"/>
          <w:lang w:eastAsia="sk-SK"/>
        </w:rPr>
        <w:t>á</w:t>
      </w:r>
      <w:r w:rsidRPr="00E772B6">
        <w:rPr>
          <w:rFonts w:ascii="Arial" w:eastAsia="Times New Roman" w:hAnsi="Arial" w:cs="Arial"/>
          <w:lang w:eastAsia="sk-SK"/>
        </w:rPr>
        <w:t xml:space="preserve"> komunikáci</w:t>
      </w:r>
      <w:r w:rsidR="00064D7C" w:rsidRPr="00E772B6">
        <w:rPr>
          <w:rFonts w:ascii="Arial" w:eastAsia="Times New Roman" w:hAnsi="Arial" w:cs="Arial"/>
          <w:lang w:eastAsia="sk-SK"/>
        </w:rPr>
        <w:t>a</w:t>
      </w:r>
      <w:r w:rsidRPr="00E772B6">
        <w:rPr>
          <w:rFonts w:ascii="Arial" w:eastAsia="Times New Roman" w:hAnsi="Arial" w:cs="Arial"/>
          <w:lang w:eastAsia="sk-SK"/>
        </w:rPr>
        <w:t xml:space="preserve"> </w:t>
      </w:r>
      <w:r w:rsidR="00064D7C" w:rsidRPr="00E772B6">
        <w:rPr>
          <w:rFonts w:ascii="Arial" w:hAnsi="Arial" w:cs="Arial"/>
        </w:rPr>
        <w:t>v celkovej dĺžke 0,48375 km. C</w:t>
      </w:r>
      <w:r w:rsidR="00064D7C" w:rsidRPr="00E772B6">
        <w:rPr>
          <w:rFonts w:ascii="Arial" w:eastAsia="Times New Roman" w:hAnsi="Arial" w:cs="Arial"/>
          <w:lang w:eastAsia="sk-SK"/>
        </w:rPr>
        <w:t xml:space="preserve">yklotrasa zabezpečuje plynulé prepojenie dvoch existujúcich cyklotrás v smere zo Sídliska III. v Prešove do Veľkého Šariša a slúži </w:t>
      </w:r>
      <w:r w:rsidR="00064D7C" w:rsidRPr="00E772B6">
        <w:rPr>
          <w:rFonts w:ascii="Arial" w:hAnsi="Arial" w:cs="Arial"/>
        </w:rPr>
        <w:t>obyvateľom mesta Prešov, Veľkého Šariša a priľahlých obcí, ktorí ju využívajú ako plnohodnotný a bezpečný spôsob prepravy za prácou, za vzdelaním, či za občianskou vybavenosťou.</w:t>
      </w:r>
    </w:p>
    <w:p w:rsidR="005E6B6B" w:rsidRPr="00E772B6" w:rsidRDefault="00064D7C" w:rsidP="009B6B90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hAnsi="Arial" w:cs="Arial"/>
        </w:rPr>
        <w:t xml:space="preserve">Na cyklotrase boli </w:t>
      </w:r>
      <w:r w:rsidRPr="00E772B6">
        <w:rPr>
          <w:rFonts w:ascii="Arial" w:eastAsia="Times New Roman" w:hAnsi="Arial" w:cs="Arial"/>
          <w:lang w:eastAsia="sk-SK"/>
        </w:rPr>
        <w:t>realizované prvky na upokojovanie dopravy (</w:t>
      </w:r>
      <w:r w:rsidRPr="00E772B6">
        <w:rPr>
          <w:rFonts w:ascii="Arial" w:hAnsi="Arial" w:cs="Arial"/>
        </w:rPr>
        <w:t>rampa, prechod pre chodcov a cyklistov cez komunikáciu, oddelenie cyklistickej komunikácie od chodníka pre peších)</w:t>
      </w:r>
      <w:r w:rsidRPr="00E772B6">
        <w:rPr>
          <w:rFonts w:ascii="Arial" w:eastAsia="Times New Roman" w:hAnsi="Arial" w:cs="Arial"/>
          <w:lang w:eastAsia="sk-SK"/>
        </w:rPr>
        <w:t>. O</w:t>
      </w:r>
      <w:r w:rsidRPr="00E772B6">
        <w:rPr>
          <w:rFonts w:ascii="Arial" w:hAnsi="Arial" w:cs="Arial"/>
        </w:rPr>
        <w:t xml:space="preserve">dstránené boli existujúce kolízne body (automobilová doprava/cyklista/chodec), čím sa prispelo k zvýšeniu bezpečnosti na cestách. </w:t>
      </w:r>
      <w:r w:rsidRPr="00E772B6">
        <w:rPr>
          <w:rFonts w:ascii="Arial" w:eastAsia="Times New Roman" w:hAnsi="Arial" w:cs="Arial"/>
          <w:lang w:eastAsia="sk-SK"/>
        </w:rPr>
        <w:t>R</w:t>
      </w:r>
      <w:r w:rsidR="005E6B6B" w:rsidRPr="00E772B6">
        <w:rPr>
          <w:rFonts w:ascii="Arial" w:eastAsia="Times New Roman" w:hAnsi="Arial" w:cs="Arial"/>
          <w:lang w:eastAsia="sk-SK"/>
        </w:rPr>
        <w:t>ealiz</w:t>
      </w:r>
      <w:r w:rsidRPr="00E772B6">
        <w:rPr>
          <w:rFonts w:ascii="Arial" w:eastAsia="Times New Roman" w:hAnsi="Arial" w:cs="Arial"/>
          <w:lang w:eastAsia="sk-SK"/>
        </w:rPr>
        <w:t>ované boli</w:t>
      </w:r>
      <w:r w:rsidR="005E6B6B" w:rsidRPr="00E772B6">
        <w:rPr>
          <w:rFonts w:ascii="Arial" w:eastAsia="Times New Roman" w:hAnsi="Arial" w:cs="Arial"/>
          <w:lang w:eastAsia="sk-SK"/>
        </w:rPr>
        <w:t xml:space="preserve"> </w:t>
      </w:r>
      <w:r w:rsidRPr="00E772B6">
        <w:rPr>
          <w:rFonts w:ascii="Arial" w:eastAsia="Times New Roman" w:hAnsi="Arial" w:cs="Arial"/>
          <w:lang w:eastAsia="sk-SK"/>
        </w:rPr>
        <w:t xml:space="preserve">tiež </w:t>
      </w:r>
      <w:r w:rsidR="005E6B6B" w:rsidRPr="00E772B6">
        <w:rPr>
          <w:rFonts w:ascii="Arial" w:eastAsia="Times New Roman" w:hAnsi="Arial" w:cs="Arial"/>
          <w:lang w:eastAsia="sk-SK"/>
        </w:rPr>
        <w:t>aktiv</w:t>
      </w:r>
      <w:r w:rsidRPr="00E772B6">
        <w:rPr>
          <w:rFonts w:ascii="Arial" w:eastAsia="Times New Roman" w:hAnsi="Arial" w:cs="Arial"/>
          <w:lang w:eastAsia="sk-SK"/>
        </w:rPr>
        <w:t>ity</w:t>
      </w:r>
      <w:r w:rsidR="005E6B6B" w:rsidRPr="00E772B6">
        <w:rPr>
          <w:rFonts w:ascii="Arial" w:eastAsia="Times New Roman" w:hAnsi="Arial" w:cs="Arial"/>
          <w:lang w:eastAsia="sk-SK"/>
        </w:rPr>
        <w:t xml:space="preserve"> zamera</w:t>
      </w:r>
      <w:r w:rsidRPr="00E772B6">
        <w:rPr>
          <w:rFonts w:ascii="Arial" w:eastAsia="Times New Roman" w:hAnsi="Arial" w:cs="Arial"/>
          <w:lang w:eastAsia="sk-SK"/>
        </w:rPr>
        <w:t>né</w:t>
      </w:r>
      <w:r w:rsidR="005E6B6B" w:rsidRPr="00E772B6">
        <w:rPr>
          <w:rFonts w:ascii="Arial" w:eastAsia="Times New Roman" w:hAnsi="Arial" w:cs="Arial"/>
          <w:lang w:eastAsia="sk-SK"/>
        </w:rPr>
        <w:t xml:space="preserve"> na propagáciu cyklistickej dopravy ako plnohodnotného spôsobu prepravy v rámci mesta Prešov a v prímestských oblastiach. </w:t>
      </w:r>
    </w:p>
    <w:p w:rsidR="005E6B6B" w:rsidRPr="00E772B6" w:rsidRDefault="005E6B6B" w:rsidP="00E772B6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064D7C" w:rsidRDefault="00064D7C" w:rsidP="00E772B6">
      <w:pPr>
        <w:pStyle w:val="Odsekzoznamu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E772B6">
        <w:rPr>
          <w:rFonts w:ascii="Arial" w:hAnsi="Arial" w:cs="Arial"/>
          <w:b/>
          <w:bCs/>
        </w:rPr>
        <w:t>Modernizácia vozidlového parku nákupom autobusov MHD v</w:t>
      </w:r>
      <w:r w:rsidR="00E772B6">
        <w:rPr>
          <w:rFonts w:ascii="Arial" w:hAnsi="Arial" w:cs="Arial"/>
          <w:b/>
          <w:bCs/>
        </w:rPr>
        <w:t> </w:t>
      </w:r>
      <w:r w:rsidRPr="00E772B6">
        <w:rPr>
          <w:rFonts w:ascii="Arial" w:hAnsi="Arial" w:cs="Arial"/>
          <w:b/>
          <w:bCs/>
        </w:rPr>
        <w:t>Žiline</w:t>
      </w:r>
    </w:p>
    <w:p w:rsidR="00E772B6" w:rsidRPr="00E772B6" w:rsidRDefault="00E772B6" w:rsidP="00E772B6">
      <w:pPr>
        <w:pStyle w:val="Odsekzoznamu"/>
        <w:jc w:val="both"/>
        <w:rPr>
          <w:rFonts w:ascii="Arial" w:hAnsi="Arial" w:cs="Arial"/>
          <w:b/>
          <w:bCs/>
        </w:rPr>
      </w:pP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772B6">
        <w:rPr>
          <w:rFonts w:ascii="Arial" w:hAnsi="Arial" w:cs="Arial"/>
          <w:bCs/>
        </w:rPr>
        <w:t xml:space="preserve">Prijímateľ: </w:t>
      </w:r>
      <w:r w:rsidRPr="00E772B6">
        <w:rPr>
          <w:rFonts w:ascii="Arial" w:hAnsi="Arial" w:cs="Arial"/>
        </w:rPr>
        <w:t>mesto Žilina</w:t>
      </w: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hAnsi="Arial" w:cs="Arial"/>
          <w:bCs/>
        </w:rPr>
        <w:t xml:space="preserve">Celkové oprávnené náklady projektu: </w:t>
      </w:r>
      <w:r w:rsidRPr="00E772B6">
        <w:rPr>
          <w:rFonts w:ascii="Arial" w:hAnsi="Arial" w:cs="Arial"/>
        </w:rPr>
        <w:t>11 261 308,36 EUR</w:t>
      </w: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hAnsi="Arial" w:cs="Arial"/>
          <w:bCs/>
        </w:rPr>
        <w:t xml:space="preserve">Z toho zdroj EÚ a štátneho rozpočtu: </w:t>
      </w:r>
      <w:r w:rsidRPr="00E772B6">
        <w:rPr>
          <w:rFonts w:ascii="Arial" w:hAnsi="Arial" w:cs="Arial"/>
        </w:rPr>
        <w:t>10 698 242,96 EUR</w:t>
      </w:r>
      <w:r w:rsidRPr="00E772B6">
        <w:rPr>
          <w:rFonts w:ascii="Arial" w:eastAsia="Times New Roman" w:hAnsi="Arial" w:cs="Arial"/>
          <w:bCs/>
          <w:lang w:eastAsia="sk-SK"/>
        </w:rPr>
        <w:t xml:space="preserve">  </w:t>
      </w: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hAnsi="Arial" w:cs="Arial"/>
          <w:bCs/>
        </w:rPr>
        <w:t xml:space="preserve">Vlastné zdroje: </w:t>
      </w:r>
      <w:r w:rsidRPr="00E772B6">
        <w:rPr>
          <w:rFonts w:ascii="Arial" w:hAnsi="Arial" w:cs="Arial"/>
        </w:rPr>
        <w:t>563 065,42 EUR</w:t>
      </w:r>
      <w:r w:rsidRPr="00E772B6">
        <w:rPr>
          <w:rFonts w:ascii="Arial" w:eastAsia="Times New Roman" w:hAnsi="Arial" w:cs="Arial"/>
          <w:bCs/>
          <w:lang w:eastAsia="sk-SK"/>
        </w:rPr>
        <w:t xml:space="preserve">  </w:t>
      </w:r>
    </w:p>
    <w:p w:rsidR="009B6B90" w:rsidRPr="00E772B6" w:rsidRDefault="009B6B90" w:rsidP="009B6B90">
      <w:pPr>
        <w:spacing w:after="0" w:line="240" w:lineRule="auto"/>
        <w:ind w:left="709"/>
        <w:jc w:val="both"/>
        <w:rPr>
          <w:rFonts w:ascii="Arial" w:hAnsi="Arial" w:cs="Arial"/>
        </w:rPr>
      </w:pPr>
      <w:r w:rsidRPr="00E772B6">
        <w:rPr>
          <w:rFonts w:ascii="Arial" w:hAnsi="Arial" w:cs="Arial"/>
          <w:bCs/>
        </w:rPr>
        <w:t>Doba realizácie projektu:</w:t>
      </w:r>
      <w:r w:rsidRPr="00E772B6">
        <w:rPr>
          <w:rFonts w:ascii="Arial" w:eastAsia="Times New Roman" w:hAnsi="Arial" w:cs="Arial"/>
          <w:lang w:eastAsia="sk-SK"/>
        </w:rPr>
        <w:t xml:space="preserve"> </w:t>
      </w:r>
      <w:r w:rsidRPr="00E772B6">
        <w:rPr>
          <w:rFonts w:ascii="Arial" w:hAnsi="Arial" w:cs="Arial"/>
        </w:rPr>
        <w:t>október 2017 - marec 2019</w:t>
      </w:r>
    </w:p>
    <w:p w:rsidR="009B6B90" w:rsidRDefault="009B6B90" w:rsidP="00E772B6">
      <w:pPr>
        <w:tabs>
          <w:tab w:val="left" w:pos="6136"/>
        </w:tabs>
        <w:spacing w:after="0" w:line="240" w:lineRule="auto"/>
        <w:jc w:val="both"/>
        <w:rPr>
          <w:rFonts w:ascii="Arial" w:eastAsia="Times New Roman" w:hAnsi="Arial" w:cs="Arial"/>
          <w:bCs/>
          <w:lang w:eastAsia="sk-SK"/>
        </w:rPr>
      </w:pPr>
    </w:p>
    <w:p w:rsidR="0000050F" w:rsidRPr="00E772B6" w:rsidRDefault="0000050F" w:rsidP="009B6B90">
      <w:pPr>
        <w:tabs>
          <w:tab w:val="left" w:pos="6136"/>
        </w:tabs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E772B6">
        <w:rPr>
          <w:rFonts w:ascii="Arial" w:eastAsia="Times New Roman" w:hAnsi="Arial" w:cs="Arial"/>
          <w:bCs/>
          <w:lang w:eastAsia="sk-SK"/>
        </w:rPr>
        <w:t xml:space="preserve">Hlavnou aktivitou projektu bol </w:t>
      </w:r>
      <w:r w:rsidRPr="00E772B6">
        <w:rPr>
          <w:rFonts w:ascii="Arial" w:eastAsia="Times New Roman" w:hAnsi="Arial" w:cs="Arial"/>
          <w:lang w:eastAsia="sk-SK"/>
        </w:rPr>
        <w:t xml:space="preserve">nákup 32 ks nových </w:t>
      </w:r>
      <w:proofErr w:type="spellStart"/>
      <w:r w:rsidRPr="00E772B6">
        <w:rPr>
          <w:rFonts w:ascii="Arial" w:eastAsia="Times New Roman" w:hAnsi="Arial" w:cs="Arial"/>
          <w:lang w:eastAsia="sk-SK"/>
        </w:rPr>
        <w:t>nízkopodlažných</w:t>
      </w:r>
      <w:proofErr w:type="spellEnd"/>
      <w:r w:rsidRPr="00E772B6">
        <w:rPr>
          <w:rFonts w:ascii="Arial" w:eastAsia="Times New Roman" w:hAnsi="Arial" w:cs="Arial"/>
          <w:lang w:eastAsia="sk-SK"/>
        </w:rPr>
        <w:t xml:space="preserve"> ekologických autobusov MHD</w:t>
      </w:r>
      <w:r w:rsidR="00357145" w:rsidRPr="00E772B6">
        <w:rPr>
          <w:rFonts w:ascii="Arial" w:eastAsia="Times New Roman" w:hAnsi="Arial" w:cs="Arial"/>
          <w:lang w:eastAsia="sk-SK"/>
        </w:rPr>
        <w:t xml:space="preserve"> (</w:t>
      </w:r>
      <w:r w:rsidRPr="00E772B6">
        <w:rPr>
          <w:rFonts w:ascii="Arial" w:eastAsia="Times New Roman" w:hAnsi="Arial" w:cs="Arial"/>
          <w:iCs/>
          <w:lang w:eastAsia="sk-SK"/>
        </w:rPr>
        <w:t>14ks autobusov s dieselov</w:t>
      </w:r>
      <w:r w:rsidR="00357145" w:rsidRPr="00E772B6">
        <w:rPr>
          <w:rFonts w:ascii="Arial" w:eastAsia="Times New Roman" w:hAnsi="Arial" w:cs="Arial"/>
          <w:iCs/>
          <w:lang w:eastAsia="sk-SK"/>
        </w:rPr>
        <w:t>ý</w:t>
      </w:r>
      <w:r w:rsidRPr="00E772B6">
        <w:rPr>
          <w:rFonts w:ascii="Arial" w:eastAsia="Times New Roman" w:hAnsi="Arial" w:cs="Arial"/>
          <w:iCs/>
          <w:lang w:eastAsia="sk-SK"/>
        </w:rPr>
        <w:t>m pohonom</w:t>
      </w:r>
      <w:r w:rsidR="00357145" w:rsidRPr="00E772B6">
        <w:rPr>
          <w:rFonts w:ascii="Arial" w:eastAsia="Times New Roman" w:hAnsi="Arial" w:cs="Arial"/>
          <w:iCs/>
          <w:lang w:eastAsia="sk-SK"/>
        </w:rPr>
        <w:t xml:space="preserve">, </w:t>
      </w:r>
      <w:r w:rsidRPr="00E772B6">
        <w:rPr>
          <w:rFonts w:ascii="Arial" w:eastAsia="Times New Roman" w:hAnsi="Arial" w:cs="Arial"/>
          <w:iCs/>
          <w:lang w:eastAsia="sk-SK"/>
        </w:rPr>
        <w:t xml:space="preserve">2 ks </w:t>
      </w:r>
      <w:proofErr w:type="spellStart"/>
      <w:r w:rsidRPr="00E772B6">
        <w:rPr>
          <w:rFonts w:ascii="Arial" w:eastAsia="Times New Roman" w:hAnsi="Arial" w:cs="Arial"/>
          <w:iCs/>
          <w:lang w:eastAsia="sk-SK"/>
        </w:rPr>
        <w:t>elektrobusov</w:t>
      </w:r>
      <w:proofErr w:type="spellEnd"/>
      <w:r w:rsidR="00357145" w:rsidRPr="00E772B6">
        <w:rPr>
          <w:rFonts w:ascii="Arial" w:eastAsia="Times New Roman" w:hAnsi="Arial" w:cs="Arial"/>
          <w:iCs/>
          <w:lang w:eastAsia="sk-SK"/>
        </w:rPr>
        <w:t xml:space="preserve">, </w:t>
      </w:r>
      <w:r w:rsidRPr="00E772B6">
        <w:rPr>
          <w:rFonts w:ascii="Arial" w:eastAsia="Times New Roman" w:hAnsi="Arial" w:cs="Arial"/>
          <w:iCs/>
          <w:lang w:eastAsia="sk-SK"/>
        </w:rPr>
        <w:t>16 ks autobusov s hybridným pohonom</w:t>
      </w:r>
      <w:r w:rsidR="00357145" w:rsidRPr="00E772B6">
        <w:rPr>
          <w:rFonts w:ascii="Arial" w:eastAsia="Times New Roman" w:hAnsi="Arial" w:cs="Arial"/>
          <w:iCs/>
          <w:lang w:eastAsia="sk-SK"/>
        </w:rPr>
        <w:t>)</w:t>
      </w:r>
      <w:r w:rsidRPr="00E772B6">
        <w:rPr>
          <w:rFonts w:ascii="Arial" w:eastAsia="Times New Roman" w:hAnsi="Arial" w:cs="Arial"/>
          <w:iCs/>
          <w:lang w:eastAsia="sk-SK"/>
        </w:rPr>
        <w:t xml:space="preserve"> </w:t>
      </w:r>
    </w:p>
    <w:p w:rsidR="00064D7C" w:rsidRPr="00E772B6" w:rsidRDefault="0000050F" w:rsidP="009B6B90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E772B6">
        <w:rPr>
          <w:rFonts w:ascii="Arial" w:hAnsi="Arial" w:cs="Arial"/>
          <w:bCs/>
        </w:rPr>
        <w:lastRenderedPageBreak/>
        <w:t>R</w:t>
      </w:r>
      <w:r w:rsidR="00064D7C" w:rsidRPr="00E772B6">
        <w:rPr>
          <w:rFonts w:ascii="Arial" w:hAnsi="Arial" w:cs="Arial"/>
          <w:bCs/>
        </w:rPr>
        <w:t xml:space="preserve">ealizáciou </w:t>
      </w:r>
      <w:r w:rsidRPr="00E772B6">
        <w:rPr>
          <w:rFonts w:ascii="Arial" w:hAnsi="Arial" w:cs="Arial"/>
          <w:bCs/>
        </w:rPr>
        <w:t xml:space="preserve">projektu </w:t>
      </w:r>
      <w:r w:rsidR="00064D7C" w:rsidRPr="00E772B6">
        <w:rPr>
          <w:rFonts w:ascii="Arial" w:hAnsi="Arial" w:cs="Arial"/>
          <w:bCs/>
        </w:rPr>
        <w:t>sa očakáva  zastavenie  úbytku počtu prepravených cestujúcich, výrazné zlepšenie služieb</w:t>
      </w:r>
      <w:r w:rsidRPr="00E772B6">
        <w:rPr>
          <w:rFonts w:ascii="Arial" w:hAnsi="Arial" w:cs="Arial"/>
          <w:bCs/>
        </w:rPr>
        <w:t xml:space="preserve"> a</w:t>
      </w:r>
      <w:r w:rsidRPr="00E772B6">
        <w:rPr>
          <w:rFonts w:ascii="Arial" w:hAnsi="Arial" w:cs="Arial"/>
        </w:rPr>
        <w:t xml:space="preserve"> komfortu cestovania</w:t>
      </w:r>
      <w:r w:rsidR="00064D7C" w:rsidRPr="00E772B6">
        <w:rPr>
          <w:rFonts w:ascii="Arial" w:hAnsi="Arial" w:cs="Arial"/>
          <w:bCs/>
        </w:rPr>
        <w:t xml:space="preserve">, kvality a zvýšenie atraktivity MHD, zvýšenie bezpečnosti a spoľahlivosti pri preprave cestujúcich, zníženie emisií, hluku a prevádzkových nákladov.  </w:t>
      </w:r>
      <w:r w:rsidRPr="00E772B6">
        <w:rPr>
          <w:rFonts w:ascii="Arial" w:hAnsi="Arial" w:cs="Arial"/>
          <w:bCs/>
        </w:rPr>
        <w:t>M</w:t>
      </w:r>
      <w:r w:rsidR="00064D7C" w:rsidRPr="00E772B6">
        <w:rPr>
          <w:rFonts w:ascii="Arial" w:hAnsi="Arial" w:cs="Arial"/>
          <w:bCs/>
        </w:rPr>
        <w:t xml:space="preserve">oderné prvky IKT </w:t>
      </w:r>
      <w:r w:rsidRPr="00E772B6">
        <w:rPr>
          <w:rFonts w:ascii="Arial" w:hAnsi="Arial" w:cs="Arial"/>
          <w:bCs/>
        </w:rPr>
        <w:t>(</w:t>
      </w:r>
      <w:r w:rsidR="00064D7C" w:rsidRPr="00E772B6">
        <w:rPr>
          <w:rFonts w:ascii="Arial" w:hAnsi="Arial" w:cs="Arial"/>
          <w:bCs/>
        </w:rPr>
        <w:t>vozidlový informačný a komunikačný systém a systém pre tarifné vybavenie cestujúcich</w:t>
      </w:r>
      <w:r w:rsidRPr="00E772B6">
        <w:rPr>
          <w:rFonts w:ascii="Arial" w:hAnsi="Arial" w:cs="Arial"/>
          <w:bCs/>
        </w:rPr>
        <w:t>)</w:t>
      </w:r>
      <w:r w:rsidR="00064D7C" w:rsidRPr="00E772B6">
        <w:rPr>
          <w:rFonts w:ascii="Arial" w:hAnsi="Arial" w:cs="Arial"/>
          <w:bCs/>
        </w:rPr>
        <w:t xml:space="preserve"> </w:t>
      </w:r>
      <w:r w:rsidRPr="00E772B6">
        <w:rPr>
          <w:rFonts w:ascii="Arial" w:hAnsi="Arial" w:cs="Arial"/>
          <w:bCs/>
        </w:rPr>
        <w:t xml:space="preserve">zároveň </w:t>
      </w:r>
      <w:r w:rsidR="00064D7C" w:rsidRPr="00E772B6">
        <w:rPr>
          <w:rFonts w:ascii="Arial" w:hAnsi="Arial" w:cs="Arial"/>
          <w:bCs/>
        </w:rPr>
        <w:t>zlepš</w:t>
      </w:r>
      <w:r w:rsidRPr="00E772B6">
        <w:rPr>
          <w:rFonts w:ascii="Arial" w:hAnsi="Arial" w:cs="Arial"/>
          <w:bCs/>
        </w:rPr>
        <w:t>ia</w:t>
      </w:r>
      <w:r w:rsidR="00064D7C" w:rsidRPr="00E772B6">
        <w:rPr>
          <w:rFonts w:ascii="Arial" w:hAnsi="Arial" w:cs="Arial"/>
          <w:bCs/>
        </w:rPr>
        <w:t xml:space="preserve"> informovanos</w:t>
      </w:r>
      <w:r w:rsidRPr="00E772B6">
        <w:rPr>
          <w:rFonts w:ascii="Arial" w:hAnsi="Arial" w:cs="Arial"/>
          <w:bCs/>
        </w:rPr>
        <w:t>ť</w:t>
      </w:r>
      <w:r w:rsidR="00064D7C" w:rsidRPr="00E772B6">
        <w:rPr>
          <w:rFonts w:ascii="Arial" w:hAnsi="Arial" w:cs="Arial"/>
          <w:bCs/>
        </w:rPr>
        <w:t xml:space="preserve"> cestujúcich a dopravcu s dopadom na skrátenie prepravných  časov, </w:t>
      </w:r>
    </w:p>
    <w:p w:rsidR="00064D7C" w:rsidRPr="00E772B6" w:rsidRDefault="00064D7C" w:rsidP="00E772B6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:rsidR="00064D7C" w:rsidRPr="00E772B6" w:rsidRDefault="00064D7C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064D7C" w:rsidRPr="00E772B6" w:rsidRDefault="00064D7C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064D7C" w:rsidRPr="00E772B6" w:rsidRDefault="00064D7C" w:rsidP="00E772B6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5E6B6B" w:rsidRPr="00E772B6" w:rsidRDefault="005E6B6B" w:rsidP="00E772B6">
      <w:pPr>
        <w:spacing w:after="0" w:line="240" w:lineRule="auto"/>
        <w:jc w:val="both"/>
        <w:rPr>
          <w:rFonts w:ascii="Arial" w:hAnsi="Arial" w:cs="Arial"/>
        </w:rPr>
      </w:pPr>
    </w:p>
    <w:sectPr w:rsidR="005E6B6B" w:rsidRPr="00E7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3DF"/>
    <w:multiLevelType w:val="hybridMultilevel"/>
    <w:tmpl w:val="525E68A0"/>
    <w:lvl w:ilvl="0" w:tplc="A97C67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34E3"/>
    <w:multiLevelType w:val="multilevel"/>
    <w:tmpl w:val="B78AC61E"/>
    <w:lvl w:ilvl="0">
      <w:start w:val="1"/>
      <w:numFmt w:val="upperRoman"/>
      <w:lvlText w:val="%1."/>
      <w:lvlJc w:val="left"/>
      <w:pPr>
        <w:ind w:left="0" w:firstLine="0"/>
      </w:pPr>
      <w:rPr>
        <w:rFonts w:ascii="Calibri" w:hAnsi="Calibri" w:hint="default"/>
        <w:sz w:val="24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hAnsi="Calibri" w:hint="default"/>
        <w:sz w:val="24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173B76B0"/>
    <w:multiLevelType w:val="hybridMultilevel"/>
    <w:tmpl w:val="3F6EE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49F9"/>
    <w:multiLevelType w:val="hybridMultilevel"/>
    <w:tmpl w:val="A82E98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6A9"/>
    <w:multiLevelType w:val="hybridMultilevel"/>
    <w:tmpl w:val="98904D02"/>
    <w:lvl w:ilvl="0" w:tplc="A9C46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765C"/>
    <w:multiLevelType w:val="multilevel"/>
    <w:tmpl w:val="0E924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327F46"/>
    <w:multiLevelType w:val="hybridMultilevel"/>
    <w:tmpl w:val="E41EFE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E06DF"/>
    <w:multiLevelType w:val="hybridMultilevel"/>
    <w:tmpl w:val="A14ED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98"/>
    <w:rsid w:val="0000050F"/>
    <w:rsid w:val="00064D7C"/>
    <w:rsid w:val="00180B68"/>
    <w:rsid w:val="002118DA"/>
    <w:rsid w:val="00245F98"/>
    <w:rsid w:val="0033406A"/>
    <w:rsid w:val="00357145"/>
    <w:rsid w:val="003F6EE0"/>
    <w:rsid w:val="005E6B6B"/>
    <w:rsid w:val="00602B85"/>
    <w:rsid w:val="006B41D1"/>
    <w:rsid w:val="00792E01"/>
    <w:rsid w:val="007B675C"/>
    <w:rsid w:val="00833C21"/>
    <w:rsid w:val="00930C3F"/>
    <w:rsid w:val="009B6B90"/>
    <w:rsid w:val="00A55C72"/>
    <w:rsid w:val="00A80CC5"/>
    <w:rsid w:val="00A935E9"/>
    <w:rsid w:val="00CB49A7"/>
    <w:rsid w:val="00E772B6"/>
    <w:rsid w:val="00F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D542D-EB64-4AA5-ABA3-6631B4B5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5F98"/>
  </w:style>
  <w:style w:type="paragraph" w:styleId="Nadpis1">
    <w:name w:val="heading 1"/>
    <w:basedOn w:val="Normlny"/>
    <w:next w:val="Normlny"/>
    <w:link w:val="Nadpis1Char"/>
    <w:uiPriority w:val="9"/>
    <w:qFormat/>
    <w:rsid w:val="002118D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Svetlmriekazvraznenie111">
    <w:name w:val="Svetlá mriežka – zvýraznenie 111"/>
    <w:basedOn w:val="Normlnatabuka"/>
    <w:uiPriority w:val="62"/>
    <w:rsid w:val="00245F98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E67C8"/>
        <w:left w:val="single" w:sz="8" w:space="0" w:color="4E67C8"/>
        <w:bottom w:val="single" w:sz="8" w:space="0" w:color="4E67C8"/>
        <w:right w:val="single" w:sz="8" w:space="0" w:color="4E67C8"/>
        <w:insideH w:val="single" w:sz="8" w:space="0" w:color="4E67C8"/>
        <w:insideV w:val="single" w:sz="8" w:space="0" w:color="4E67C8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Georgia" w:eastAsia="Times New Roman" w:hAnsi="Georgia" w:cs="Times New Roman" w:hint="default"/>
        <w:b/>
        <w:bCs/>
      </w:rPr>
      <w:tblPr/>
      <w:tcPr>
        <w:tcBorders>
          <w:top w:val="single" w:sz="8" w:space="0" w:color="4E67C8"/>
          <w:left w:val="single" w:sz="8" w:space="0" w:color="4E67C8"/>
          <w:bottom w:val="single" w:sz="18" w:space="0" w:color="4E67C8"/>
          <w:right w:val="single" w:sz="8" w:space="0" w:color="4E67C8"/>
          <w:insideH w:val="nil"/>
          <w:insideV w:val="single" w:sz="8" w:space="0" w:color="4E67C8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Georgia" w:eastAsia="Times New Roman" w:hAnsi="Georgia" w:cs="Times New Roman" w:hint="default"/>
        <w:b/>
        <w:bCs/>
      </w:rPr>
      <w:tblPr/>
      <w:tcPr>
        <w:tcBorders>
          <w:top w:val="double" w:sz="6" w:space="0" w:color="4E67C8"/>
          <w:left w:val="single" w:sz="8" w:space="0" w:color="4E67C8"/>
          <w:bottom w:val="single" w:sz="8" w:space="0" w:color="4E67C8"/>
          <w:right w:val="single" w:sz="8" w:space="0" w:color="4E67C8"/>
          <w:insideH w:val="nil"/>
          <w:insideV w:val="single" w:sz="8" w:space="0" w:color="4E67C8"/>
        </w:tcBorders>
      </w:tcPr>
    </w:tblStylePr>
    <w:tblStylePr w:type="firstCol">
      <w:rPr>
        <w:rFonts w:ascii="Georgia" w:eastAsia="Times New Roman" w:hAnsi="Georgia" w:cs="Times New Roman" w:hint="default"/>
        <w:b/>
        <w:bCs/>
      </w:rPr>
    </w:tblStylePr>
    <w:tblStylePr w:type="lastCol">
      <w:rPr>
        <w:rFonts w:ascii="Georgia" w:eastAsia="Times New Roman" w:hAnsi="Georgia" w:cs="Times New Roman" w:hint="default"/>
        <w:b/>
        <w:bCs/>
      </w:rPr>
      <w:tblPr/>
      <w:tcPr>
        <w:tcBorders>
          <w:top w:val="single" w:sz="8" w:space="0" w:color="4E67C8"/>
          <w:left w:val="single" w:sz="8" w:space="0" w:color="4E67C8"/>
          <w:bottom w:val="single" w:sz="8" w:space="0" w:color="4E67C8"/>
          <w:right w:val="single" w:sz="8" w:space="0" w:color="4E67C8"/>
        </w:tcBorders>
      </w:tcPr>
    </w:tblStylePr>
    <w:tblStylePr w:type="band1Vert">
      <w:tblPr/>
      <w:tcPr>
        <w:tcBorders>
          <w:top w:val="single" w:sz="8" w:space="0" w:color="4E67C8"/>
          <w:left w:val="single" w:sz="8" w:space="0" w:color="4E67C8"/>
          <w:bottom w:val="single" w:sz="8" w:space="0" w:color="4E67C8"/>
          <w:right w:val="single" w:sz="8" w:space="0" w:color="4E67C8"/>
        </w:tcBorders>
        <w:shd w:val="clear" w:color="auto" w:fill="D3D9F1"/>
      </w:tcPr>
    </w:tblStylePr>
    <w:tblStylePr w:type="band1Horz">
      <w:tblPr/>
      <w:tcPr>
        <w:tcBorders>
          <w:top w:val="single" w:sz="8" w:space="0" w:color="4E67C8"/>
          <w:left w:val="single" w:sz="8" w:space="0" w:color="4E67C8"/>
          <w:bottom w:val="single" w:sz="8" w:space="0" w:color="4E67C8"/>
          <w:right w:val="single" w:sz="8" w:space="0" w:color="4E67C8"/>
          <w:insideV w:val="single" w:sz="8" w:space="0" w:color="4E67C8"/>
        </w:tcBorders>
        <w:shd w:val="clear" w:color="auto" w:fill="D3D9F1"/>
      </w:tcPr>
    </w:tblStylePr>
    <w:tblStylePr w:type="band2Horz">
      <w:tblPr/>
      <w:tcPr>
        <w:tcBorders>
          <w:top w:val="single" w:sz="8" w:space="0" w:color="4E67C8"/>
          <w:left w:val="single" w:sz="8" w:space="0" w:color="4E67C8"/>
          <w:bottom w:val="single" w:sz="8" w:space="0" w:color="4E67C8"/>
          <w:right w:val="single" w:sz="8" w:space="0" w:color="4E67C8"/>
          <w:insideV w:val="single" w:sz="8" w:space="0" w:color="4E67C8"/>
        </w:tcBorders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B67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675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67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67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675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7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2118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List Paragraph,Odsek zoznamu1,Dot pt,F5 List Paragraph,Recommendation,List Paragraph11,List Paragraph à moi,Odsek zoznamu4,No Spacing1,List Paragraph Char Char Char,Indicator Text,Numbered Para 1"/>
    <w:basedOn w:val="Normlny"/>
    <w:link w:val="OdsekzoznamuChar"/>
    <w:uiPriority w:val="34"/>
    <w:qFormat/>
    <w:rsid w:val="00211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35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935E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zoznamu1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locked/>
    <w:rsid w:val="00E772B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Mikláš Norbert</dc:creator>
  <cp:lastModifiedBy>Daniel</cp:lastModifiedBy>
  <cp:revision>2</cp:revision>
  <dcterms:created xsi:type="dcterms:W3CDTF">2019-05-22T15:09:00Z</dcterms:created>
  <dcterms:modified xsi:type="dcterms:W3CDTF">2019-05-22T15:09:00Z</dcterms:modified>
</cp:coreProperties>
</file>