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06A" w:rsidRPr="00180B68" w:rsidRDefault="0033406A">
      <w:bookmarkStart w:id="0" w:name="_GoBack"/>
      <w:bookmarkEnd w:id="0"/>
    </w:p>
    <w:p w:rsidR="00A935E9" w:rsidRPr="00180B68" w:rsidRDefault="00A935E9" w:rsidP="00A935E9">
      <w:pPr>
        <w:jc w:val="center"/>
        <w:rPr>
          <w:rFonts w:cs="Arial"/>
        </w:rPr>
      </w:pPr>
      <w:r w:rsidRPr="00180B68">
        <w:tab/>
      </w:r>
    </w:p>
    <w:p w:rsidR="00A935E9" w:rsidRPr="00180B68" w:rsidRDefault="00A935E9" w:rsidP="00A935E9">
      <w:pPr>
        <w:pStyle w:val="Hlavika"/>
        <w:tabs>
          <w:tab w:val="left" w:pos="1977"/>
        </w:tabs>
        <w:ind w:firstLine="1977"/>
        <w:rPr>
          <w:rFonts w:asciiTheme="minorHAnsi" w:hAnsiTheme="minorHAnsi"/>
          <w:sz w:val="22"/>
          <w:szCs w:val="22"/>
        </w:rPr>
      </w:pPr>
      <w:r w:rsidRPr="00180B68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1BACA92A" wp14:editId="49E27438">
            <wp:simplePos x="0" y="0"/>
            <wp:positionH relativeFrom="column">
              <wp:posOffset>2042795</wp:posOffset>
            </wp:positionH>
            <wp:positionV relativeFrom="paragraph">
              <wp:posOffset>-516890</wp:posOffset>
            </wp:positionV>
            <wp:extent cx="1314450" cy="1276350"/>
            <wp:effectExtent l="0" t="0" r="0" b="0"/>
            <wp:wrapNone/>
            <wp:docPr id="4" name="Obrázok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1" descr="http://www.opotravinach.sk/app/webroot/files/talk_files/MP_web%20maly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80B68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0F915885" wp14:editId="55FDA76E">
            <wp:simplePos x="0" y="0"/>
            <wp:positionH relativeFrom="column">
              <wp:posOffset>363220</wp:posOffset>
            </wp:positionH>
            <wp:positionV relativeFrom="paragraph">
              <wp:posOffset>-92075</wp:posOffset>
            </wp:positionV>
            <wp:extent cx="558800" cy="471170"/>
            <wp:effectExtent l="0" t="0" r="0" b="5080"/>
            <wp:wrapTight wrapText="bothSides">
              <wp:wrapPolygon edited="0">
                <wp:start x="2209" y="0"/>
                <wp:lineTo x="0" y="13973"/>
                <wp:lineTo x="0" y="19213"/>
                <wp:lineTo x="4418" y="20960"/>
                <wp:lineTo x="16200" y="20960"/>
                <wp:lineTo x="20618" y="19213"/>
                <wp:lineTo x="20618" y="13973"/>
                <wp:lineTo x="16936" y="13973"/>
                <wp:lineTo x="19145" y="9606"/>
                <wp:lineTo x="18409" y="0"/>
                <wp:lineTo x="2209" y="0"/>
              </wp:wrapPolygon>
            </wp:wrapTight>
            <wp:docPr id="5" name="Obrázok 5" descr="logo IROP 2014-2020_verzia 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IROP 2014-2020_verzia 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47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80B68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7F0CFAE1" wp14:editId="3001745D">
            <wp:simplePos x="0" y="0"/>
            <wp:positionH relativeFrom="column">
              <wp:posOffset>3999230</wp:posOffset>
            </wp:positionH>
            <wp:positionV relativeFrom="paragraph">
              <wp:posOffset>-78740</wp:posOffset>
            </wp:positionV>
            <wp:extent cx="1638935" cy="459740"/>
            <wp:effectExtent l="0" t="0" r="0" b="0"/>
            <wp:wrapTight wrapText="bothSides">
              <wp:wrapPolygon edited="0">
                <wp:start x="0" y="0"/>
                <wp:lineTo x="0" y="20586"/>
                <wp:lineTo x="21341" y="20586"/>
                <wp:lineTo x="21341" y="0"/>
                <wp:lineTo x="0" y="0"/>
              </wp:wrapPolygon>
            </wp:wrapTight>
            <wp:docPr id="9" name="Obrázok 9" descr="http://www.euroregion-tatry.eu/_pliki/flaga_UE+unia_europejska_EFRR_z_lewej_SK%20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euroregion-tatry.eu/_pliki/flaga_UE+unia_europejska_EFRR_z_lewej_SK%20smal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935" cy="45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45F98" w:rsidRPr="00180B68" w:rsidRDefault="00245F98" w:rsidP="00A935E9">
      <w:pPr>
        <w:tabs>
          <w:tab w:val="left" w:pos="2246"/>
        </w:tabs>
      </w:pPr>
    </w:p>
    <w:p w:rsidR="00A935E9" w:rsidRPr="00180B68" w:rsidRDefault="00A935E9" w:rsidP="00A935E9">
      <w:pPr>
        <w:jc w:val="both"/>
        <w:rPr>
          <w:rFonts w:cs="Arial"/>
          <w:b/>
          <w:sz w:val="28"/>
          <w:szCs w:val="28"/>
        </w:rPr>
      </w:pPr>
      <w:r w:rsidRPr="00180B68">
        <w:rPr>
          <w:rFonts w:cs="Arial"/>
          <w:b/>
          <w:sz w:val="28"/>
          <w:szCs w:val="28"/>
        </w:rPr>
        <w:t>Príloha č. 1 Výročnej správy o vykonávaní IROP za rok 2018</w:t>
      </w:r>
    </w:p>
    <w:p w:rsidR="00A935E9" w:rsidRPr="00180B68" w:rsidRDefault="00A935E9" w:rsidP="00A935E9">
      <w:pPr>
        <w:jc w:val="both"/>
        <w:rPr>
          <w:rFonts w:cs="Arial"/>
          <w:b/>
          <w:sz w:val="28"/>
          <w:szCs w:val="28"/>
        </w:rPr>
      </w:pPr>
      <w:r w:rsidRPr="00180B68">
        <w:rPr>
          <w:rFonts w:cs="Arial"/>
          <w:b/>
          <w:sz w:val="28"/>
          <w:szCs w:val="28"/>
        </w:rPr>
        <w:t>ZHRNUTIE PRE OBČANOV</w:t>
      </w:r>
    </w:p>
    <w:p w:rsidR="00245F98" w:rsidRDefault="00A935E9" w:rsidP="00E772B6">
      <w:pPr>
        <w:spacing w:after="0" w:line="240" w:lineRule="auto"/>
        <w:jc w:val="both"/>
        <w:rPr>
          <w:rFonts w:ascii="Arial" w:hAnsi="Arial" w:cs="Arial"/>
        </w:rPr>
      </w:pPr>
      <w:r w:rsidRPr="00E772B6">
        <w:rPr>
          <w:rFonts w:ascii="Arial" w:hAnsi="Arial" w:cs="Arial"/>
        </w:rPr>
        <w:t>Hlavným c</w:t>
      </w:r>
      <w:r w:rsidR="003F6EE0" w:rsidRPr="00E772B6">
        <w:rPr>
          <w:rFonts w:ascii="Arial" w:hAnsi="Arial" w:cs="Arial"/>
        </w:rPr>
        <w:t xml:space="preserve">ieľom Integrovaného regionálneho operačného programu (IROP) je prispieť k zlepšeniu kvality života a zabezpečiť udržateľné poskytovanie verejných služieb s dopadom na vyvážený a udržateľný územný rozvoj, hospodársku, územnú a sociálnu súdržnosť regiónov, miest a obcí. </w:t>
      </w:r>
      <w:r w:rsidR="00792E01" w:rsidRPr="00E772B6">
        <w:rPr>
          <w:rFonts w:ascii="Arial" w:hAnsi="Arial" w:cs="Arial"/>
        </w:rPr>
        <w:t>V nasledujúcom tabuľkovom prehľade</w:t>
      </w:r>
      <w:r w:rsidRPr="00E772B6">
        <w:rPr>
          <w:rFonts w:ascii="Arial" w:hAnsi="Arial" w:cs="Arial"/>
        </w:rPr>
        <w:t xml:space="preserve"> je uvedený popis </w:t>
      </w:r>
      <w:r w:rsidR="00245F98" w:rsidRPr="00E772B6">
        <w:rPr>
          <w:rFonts w:ascii="Arial" w:hAnsi="Arial" w:cs="Arial"/>
        </w:rPr>
        <w:t xml:space="preserve">tematického zamerania </w:t>
      </w:r>
      <w:r w:rsidRPr="00E772B6">
        <w:rPr>
          <w:rFonts w:ascii="Arial" w:hAnsi="Arial" w:cs="Arial"/>
        </w:rPr>
        <w:t>jednotlivých špecifických cieľov IROP:</w:t>
      </w:r>
    </w:p>
    <w:p w:rsidR="00E772B6" w:rsidRPr="00E772B6" w:rsidRDefault="00E772B6" w:rsidP="00E772B6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Svetlmriekazvraznenie111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6379"/>
      </w:tblGrid>
      <w:tr w:rsidR="00A935E9" w:rsidRPr="00E772B6" w:rsidTr="00A935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shd w:val="clear" w:color="auto" w:fill="auto"/>
          </w:tcPr>
          <w:p w:rsidR="00A935E9" w:rsidRPr="00E772B6" w:rsidRDefault="00A935E9" w:rsidP="00E772B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72B6">
              <w:rPr>
                <w:rFonts w:ascii="Arial" w:hAnsi="Arial" w:cs="Arial"/>
                <w:bCs w:val="0"/>
                <w:sz w:val="22"/>
                <w:szCs w:val="22"/>
              </w:rPr>
              <w:t>Prioritná os</w:t>
            </w:r>
          </w:p>
        </w:tc>
        <w:tc>
          <w:tcPr>
            <w:tcW w:w="6379" w:type="dxa"/>
            <w:shd w:val="clear" w:color="auto" w:fill="auto"/>
          </w:tcPr>
          <w:p w:rsidR="00A935E9" w:rsidRPr="00E772B6" w:rsidRDefault="00A935E9" w:rsidP="00E772B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772B6">
              <w:rPr>
                <w:rFonts w:ascii="Arial" w:hAnsi="Arial" w:cs="Arial"/>
                <w:bCs w:val="0"/>
                <w:sz w:val="22"/>
                <w:szCs w:val="22"/>
              </w:rPr>
              <w:t xml:space="preserve">Špecifické ciele </w:t>
            </w:r>
          </w:p>
        </w:tc>
      </w:tr>
      <w:tr w:rsidR="00A935E9" w:rsidRPr="00E772B6" w:rsidTr="00A935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Merge w:val="restart"/>
            <w:shd w:val="clear" w:color="auto" w:fill="auto"/>
          </w:tcPr>
          <w:p w:rsidR="00A935E9" w:rsidRPr="00E772B6" w:rsidRDefault="00A935E9" w:rsidP="00E772B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72B6">
              <w:rPr>
                <w:rFonts w:ascii="Arial" w:hAnsi="Arial" w:cs="Arial"/>
                <w:bCs w:val="0"/>
                <w:sz w:val="22"/>
                <w:szCs w:val="22"/>
              </w:rPr>
              <w:t xml:space="preserve">1. </w:t>
            </w:r>
            <w:r w:rsidRPr="00E772B6">
              <w:rPr>
                <w:rFonts w:ascii="Arial" w:hAnsi="Arial" w:cs="Arial"/>
                <w:sz w:val="22"/>
                <w:szCs w:val="22"/>
              </w:rPr>
              <w:t>Bezpečná</w:t>
            </w:r>
            <w:r w:rsidRPr="00E772B6">
              <w:rPr>
                <w:rFonts w:ascii="Arial" w:hAnsi="Arial" w:cs="Arial"/>
                <w:bCs w:val="0"/>
                <w:sz w:val="22"/>
                <w:szCs w:val="22"/>
              </w:rPr>
              <w:t xml:space="preserve"> a ekologická doprava v regiónoch</w:t>
            </w:r>
          </w:p>
        </w:tc>
        <w:tc>
          <w:tcPr>
            <w:tcW w:w="6379" w:type="dxa"/>
            <w:shd w:val="clear" w:color="auto" w:fill="auto"/>
            <w:hideMark/>
          </w:tcPr>
          <w:p w:rsidR="00A935E9" w:rsidRPr="00E772B6" w:rsidRDefault="00A935E9" w:rsidP="00E772B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772B6">
              <w:rPr>
                <w:rFonts w:ascii="Arial" w:hAnsi="Arial" w:cs="Arial"/>
                <w:iCs/>
                <w:sz w:val="22"/>
                <w:szCs w:val="22"/>
              </w:rPr>
              <w:t xml:space="preserve">1.1 Zlepšenie dostupnosti k cestnej infraštruktúre TEN-T a cestám I. triedy s dôrazom na rozvoj </w:t>
            </w:r>
            <w:proofErr w:type="spellStart"/>
            <w:r w:rsidRPr="00E772B6">
              <w:rPr>
                <w:rFonts w:ascii="Arial" w:hAnsi="Arial" w:cs="Arial"/>
                <w:iCs/>
                <w:sz w:val="22"/>
                <w:szCs w:val="22"/>
              </w:rPr>
              <w:t>multimodálneho</w:t>
            </w:r>
            <w:proofErr w:type="spellEnd"/>
            <w:r w:rsidRPr="00E772B6">
              <w:rPr>
                <w:rFonts w:ascii="Arial" w:hAnsi="Arial" w:cs="Arial"/>
                <w:iCs/>
                <w:sz w:val="22"/>
                <w:szCs w:val="22"/>
              </w:rPr>
              <w:t xml:space="preserve"> dopravného systému</w:t>
            </w:r>
          </w:p>
        </w:tc>
      </w:tr>
      <w:tr w:rsidR="00A935E9" w:rsidRPr="00E772B6" w:rsidTr="00A935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Merge/>
            <w:shd w:val="clear" w:color="auto" w:fill="auto"/>
          </w:tcPr>
          <w:p w:rsidR="00A935E9" w:rsidRPr="00E772B6" w:rsidRDefault="00A935E9" w:rsidP="00E772B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9" w:type="dxa"/>
            <w:vMerge w:val="restart"/>
            <w:shd w:val="clear" w:color="auto" w:fill="auto"/>
            <w:hideMark/>
          </w:tcPr>
          <w:p w:rsidR="00A935E9" w:rsidRPr="00E772B6" w:rsidRDefault="00A935E9" w:rsidP="00E772B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iCs/>
                <w:sz w:val="22"/>
                <w:szCs w:val="22"/>
              </w:rPr>
            </w:pPr>
            <w:r w:rsidRPr="00E772B6">
              <w:rPr>
                <w:rFonts w:ascii="Arial" w:hAnsi="Arial" w:cs="Arial"/>
                <w:iCs/>
                <w:sz w:val="22"/>
                <w:szCs w:val="22"/>
              </w:rPr>
              <w:t>1.2.1 Zvyšovanie atraktivity a konkurencieschopnosti verejnej osobnej dopravy</w:t>
            </w:r>
          </w:p>
        </w:tc>
      </w:tr>
      <w:tr w:rsidR="00A935E9" w:rsidRPr="00E772B6" w:rsidTr="00A935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Merge/>
            <w:shd w:val="clear" w:color="auto" w:fill="auto"/>
          </w:tcPr>
          <w:p w:rsidR="00A935E9" w:rsidRPr="00E772B6" w:rsidRDefault="00A935E9" w:rsidP="00E772B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9" w:type="dxa"/>
            <w:vMerge/>
            <w:shd w:val="clear" w:color="auto" w:fill="auto"/>
          </w:tcPr>
          <w:p w:rsidR="00A935E9" w:rsidRPr="00E772B6" w:rsidRDefault="00A935E9" w:rsidP="00E772B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A935E9" w:rsidRPr="00E772B6" w:rsidTr="00A935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Merge/>
            <w:shd w:val="clear" w:color="auto" w:fill="auto"/>
          </w:tcPr>
          <w:p w:rsidR="00A935E9" w:rsidRPr="00E772B6" w:rsidRDefault="00A935E9" w:rsidP="00E772B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9" w:type="dxa"/>
            <w:shd w:val="clear" w:color="auto" w:fill="auto"/>
            <w:hideMark/>
          </w:tcPr>
          <w:p w:rsidR="00A935E9" w:rsidRPr="00E772B6" w:rsidRDefault="00A935E9" w:rsidP="00E772B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iCs/>
                <w:sz w:val="22"/>
                <w:szCs w:val="22"/>
              </w:rPr>
            </w:pPr>
            <w:r w:rsidRPr="00E772B6">
              <w:rPr>
                <w:rFonts w:ascii="Arial" w:hAnsi="Arial" w:cs="Arial"/>
                <w:iCs/>
                <w:sz w:val="22"/>
                <w:szCs w:val="22"/>
              </w:rPr>
              <w:t>1.2.2 Zvýšenie atraktivity a prepravnej kapacity nemotorovej dopravy (predovšetkým cyklistickej dopravy) na celkovom počte prepravených osôb</w:t>
            </w:r>
          </w:p>
        </w:tc>
      </w:tr>
      <w:tr w:rsidR="00A935E9" w:rsidRPr="00E772B6" w:rsidTr="00A935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Merge w:val="restart"/>
            <w:shd w:val="clear" w:color="auto" w:fill="auto"/>
          </w:tcPr>
          <w:p w:rsidR="00A935E9" w:rsidRPr="00E772B6" w:rsidRDefault="00A935E9" w:rsidP="00E772B6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E772B6">
              <w:rPr>
                <w:rFonts w:ascii="Arial" w:hAnsi="Arial" w:cs="Arial"/>
                <w:sz w:val="22"/>
                <w:szCs w:val="22"/>
              </w:rPr>
              <w:t>2.  Ľahší prístup k efektívnym a kvalitnejším verejným službám</w:t>
            </w:r>
          </w:p>
        </w:tc>
        <w:tc>
          <w:tcPr>
            <w:tcW w:w="6379" w:type="dxa"/>
            <w:vMerge w:val="restart"/>
            <w:shd w:val="clear" w:color="auto" w:fill="auto"/>
            <w:hideMark/>
          </w:tcPr>
          <w:p w:rsidR="00A935E9" w:rsidRPr="00E772B6" w:rsidRDefault="00A935E9" w:rsidP="00E772B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sz w:val="22"/>
                <w:szCs w:val="22"/>
              </w:rPr>
            </w:pPr>
            <w:r w:rsidRPr="00E772B6">
              <w:rPr>
                <w:rFonts w:ascii="Arial" w:hAnsi="Arial" w:cs="Arial"/>
                <w:iCs/>
                <w:sz w:val="22"/>
                <w:szCs w:val="22"/>
              </w:rPr>
              <w:t>2.1.1 Podporiť prechod poskytovania sociálnych služieb a zabezpečenia výkonu opatrení sociálnoprávnej ochrany detí a sociálnej kurately v zariadení z inštitucionálnej formy na komunitnú a podporiť rozvoj služieb starostlivosti o dieťa do troch rokov veku na komunitnej úrovni</w:t>
            </w:r>
          </w:p>
        </w:tc>
      </w:tr>
      <w:tr w:rsidR="00A935E9" w:rsidRPr="00E772B6" w:rsidTr="00A935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Merge/>
            <w:shd w:val="clear" w:color="auto" w:fill="auto"/>
          </w:tcPr>
          <w:p w:rsidR="00A935E9" w:rsidRPr="00E772B6" w:rsidRDefault="00A935E9" w:rsidP="00E772B6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6379" w:type="dxa"/>
            <w:vMerge/>
            <w:shd w:val="clear" w:color="auto" w:fill="auto"/>
            <w:hideMark/>
          </w:tcPr>
          <w:p w:rsidR="00A935E9" w:rsidRPr="00E772B6" w:rsidRDefault="00A935E9" w:rsidP="00E772B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A935E9" w:rsidRPr="00E772B6" w:rsidTr="00792E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Merge/>
            <w:shd w:val="clear" w:color="auto" w:fill="auto"/>
          </w:tcPr>
          <w:p w:rsidR="00A935E9" w:rsidRPr="00E772B6" w:rsidRDefault="00A935E9" w:rsidP="00E772B6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6379" w:type="dxa"/>
            <w:vMerge/>
            <w:shd w:val="clear" w:color="auto" w:fill="auto"/>
          </w:tcPr>
          <w:p w:rsidR="00A935E9" w:rsidRPr="00E772B6" w:rsidRDefault="00A935E9" w:rsidP="00E772B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A935E9" w:rsidRPr="00E772B6" w:rsidTr="00A935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Merge/>
            <w:shd w:val="clear" w:color="auto" w:fill="auto"/>
          </w:tcPr>
          <w:p w:rsidR="00A935E9" w:rsidRPr="00E772B6" w:rsidRDefault="00A935E9" w:rsidP="00E772B6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6379" w:type="dxa"/>
            <w:shd w:val="clear" w:color="auto" w:fill="auto"/>
            <w:hideMark/>
          </w:tcPr>
          <w:p w:rsidR="00A935E9" w:rsidRPr="00E772B6" w:rsidRDefault="00A935E9" w:rsidP="00E772B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iCs/>
                <w:sz w:val="22"/>
                <w:szCs w:val="22"/>
              </w:rPr>
            </w:pPr>
            <w:r w:rsidRPr="00E772B6">
              <w:rPr>
                <w:rFonts w:ascii="Arial" w:hAnsi="Arial" w:cs="Arial"/>
                <w:iCs/>
                <w:sz w:val="22"/>
                <w:szCs w:val="22"/>
              </w:rPr>
              <w:t>2.1.2 Modernizovať zdravotnícku infraštruktúru za účelom integrácie primárnej  zdravotnej starostlivosti</w:t>
            </w:r>
          </w:p>
        </w:tc>
      </w:tr>
      <w:tr w:rsidR="00A935E9" w:rsidRPr="00E772B6" w:rsidTr="00A935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Merge/>
            <w:shd w:val="clear" w:color="auto" w:fill="auto"/>
          </w:tcPr>
          <w:p w:rsidR="00A935E9" w:rsidRPr="00E772B6" w:rsidRDefault="00A935E9" w:rsidP="00E772B6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6379" w:type="dxa"/>
            <w:vMerge w:val="restart"/>
            <w:shd w:val="clear" w:color="auto" w:fill="auto"/>
          </w:tcPr>
          <w:p w:rsidR="00A935E9" w:rsidRPr="00E772B6" w:rsidRDefault="00A935E9" w:rsidP="00E772B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sz w:val="22"/>
                <w:szCs w:val="22"/>
              </w:rPr>
            </w:pPr>
            <w:r w:rsidRPr="00E772B6">
              <w:rPr>
                <w:rFonts w:ascii="Arial" w:hAnsi="Arial" w:cs="Arial"/>
                <w:iCs/>
                <w:sz w:val="22"/>
                <w:szCs w:val="22"/>
              </w:rPr>
              <w:t>2.1.3 Modernizovať infraštruktúru ústavných zariadení poskytujúcich akútnu zdravotnú starostlivosť, za účelom zvýšenia ich produktivity a efektívnosti</w:t>
            </w:r>
          </w:p>
        </w:tc>
      </w:tr>
      <w:tr w:rsidR="00A935E9" w:rsidRPr="00E772B6" w:rsidTr="00A935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Merge/>
            <w:shd w:val="clear" w:color="auto" w:fill="auto"/>
          </w:tcPr>
          <w:p w:rsidR="00A935E9" w:rsidRPr="00E772B6" w:rsidRDefault="00A935E9" w:rsidP="00E772B6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6379" w:type="dxa"/>
            <w:vMerge/>
            <w:shd w:val="clear" w:color="auto" w:fill="auto"/>
          </w:tcPr>
          <w:p w:rsidR="00A935E9" w:rsidRPr="00E772B6" w:rsidRDefault="00A935E9" w:rsidP="00E772B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A935E9" w:rsidRPr="00E772B6" w:rsidTr="00A935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Merge/>
            <w:shd w:val="clear" w:color="auto" w:fill="auto"/>
          </w:tcPr>
          <w:p w:rsidR="00A935E9" w:rsidRPr="00E772B6" w:rsidRDefault="00A935E9" w:rsidP="00E772B6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6379" w:type="dxa"/>
            <w:shd w:val="clear" w:color="auto" w:fill="auto"/>
            <w:hideMark/>
          </w:tcPr>
          <w:p w:rsidR="00A935E9" w:rsidRPr="00E772B6" w:rsidRDefault="00A935E9" w:rsidP="00E772B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sz w:val="22"/>
                <w:szCs w:val="22"/>
              </w:rPr>
            </w:pPr>
            <w:r w:rsidRPr="00E772B6">
              <w:rPr>
                <w:rFonts w:ascii="Arial" w:hAnsi="Arial" w:cs="Arial"/>
                <w:iCs/>
                <w:sz w:val="22"/>
                <w:szCs w:val="22"/>
              </w:rPr>
              <w:t xml:space="preserve">2.2.1 Zvýšenie hrubej </w:t>
            </w:r>
            <w:proofErr w:type="spellStart"/>
            <w:r w:rsidRPr="00E772B6">
              <w:rPr>
                <w:rFonts w:ascii="Arial" w:hAnsi="Arial" w:cs="Arial"/>
                <w:iCs/>
                <w:sz w:val="22"/>
                <w:szCs w:val="22"/>
              </w:rPr>
              <w:t>zaškolenosti</w:t>
            </w:r>
            <w:proofErr w:type="spellEnd"/>
            <w:r w:rsidRPr="00E772B6">
              <w:rPr>
                <w:rFonts w:ascii="Arial" w:hAnsi="Arial" w:cs="Arial"/>
                <w:iCs/>
                <w:sz w:val="22"/>
                <w:szCs w:val="22"/>
              </w:rPr>
              <w:t xml:space="preserve"> detí  v materských školách</w:t>
            </w:r>
          </w:p>
        </w:tc>
      </w:tr>
      <w:tr w:rsidR="00A935E9" w:rsidRPr="00E772B6" w:rsidTr="00A935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Merge/>
            <w:shd w:val="clear" w:color="auto" w:fill="auto"/>
          </w:tcPr>
          <w:p w:rsidR="00A935E9" w:rsidRPr="00E772B6" w:rsidRDefault="00A935E9" w:rsidP="00E772B6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6379" w:type="dxa"/>
            <w:vMerge w:val="restart"/>
            <w:shd w:val="clear" w:color="auto" w:fill="auto"/>
            <w:vAlign w:val="center"/>
            <w:hideMark/>
          </w:tcPr>
          <w:p w:rsidR="00A935E9" w:rsidRPr="00E772B6" w:rsidRDefault="00A935E9" w:rsidP="00E772B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iCs/>
                <w:sz w:val="22"/>
                <w:szCs w:val="22"/>
              </w:rPr>
            </w:pPr>
            <w:r w:rsidRPr="00E772B6">
              <w:rPr>
                <w:rFonts w:ascii="Arial" w:hAnsi="Arial" w:cs="Arial"/>
                <w:iCs/>
                <w:sz w:val="22"/>
                <w:szCs w:val="22"/>
              </w:rPr>
              <w:t>2.2.2 Zlepšenie kľúčových kompetencií žiakov základných škôl</w:t>
            </w:r>
          </w:p>
        </w:tc>
      </w:tr>
      <w:tr w:rsidR="00A935E9" w:rsidRPr="00E772B6" w:rsidTr="00A935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Merge/>
            <w:shd w:val="clear" w:color="auto" w:fill="auto"/>
          </w:tcPr>
          <w:p w:rsidR="00A935E9" w:rsidRPr="00E772B6" w:rsidRDefault="00A935E9" w:rsidP="00E772B6">
            <w:pPr>
              <w:jc w:val="both"/>
              <w:rPr>
                <w:rFonts w:ascii="Arial" w:hAnsi="Arial" w:cs="Arial"/>
                <w:b w:val="0"/>
                <w:bCs w:val="0"/>
                <w:iCs/>
                <w:sz w:val="22"/>
                <w:szCs w:val="22"/>
              </w:rPr>
            </w:pPr>
          </w:p>
        </w:tc>
        <w:tc>
          <w:tcPr>
            <w:tcW w:w="6379" w:type="dxa"/>
            <w:vMerge/>
            <w:shd w:val="clear" w:color="auto" w:fill="auto"/>
          </w:tcPr>
          <w:p w:rsidR="00A935E9" w:rsidRPr="00E772B6" w:rsidRDefault="00A935E9" w:rsidP="00E772B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A935E9" w:rsidRPr="00E772B6" w:rsidTr="00A935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Merge/>
            <w:shd w:val="clear" w:color="auto" w:fill="auto"/>
          </w:tcPr>
          <w:p w:rsidR="00A935E9" w:rsidRPr="00E772B6" w:rsidRDefault="00A935E9" w:rsidP="00E772B6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6379" w:type="dxa"/>
            <w:vMerge w:val="restart"/>
            <w:shd w:val="clear" w:color="auto" w:fill="auto"/>
            <w:hideMark/>
          </w:tcPr>
          <w:p w:rsidR="00A935E9" w:rsidRPr="00E772B6" w:rsidRDefault="00A935E9" w:rsidP="00E772B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iCs/>
                <w:sz w:val="22"/>
                <w:szCs w:val="22"/>
              </w:rPr>
            </w:pPr>
            <w:r w:rsidRPr="00E772B6">
              <w:rPr>
                <w:rFonts w:ascii="Arial" w:hAnsi="Arial" w:cs="Arial"/>
                <w:iCs/>
                <w:sz w:val="22"/>
                <w:szCs w:val="22"/>
              </w:rPr>
              <w:t xml:space="preserve">2.2.3 Zvýšenie počtu žiakov stredných odborných škôl na praktickom vyučovaní </w:t>
            </w:r>
          </w:p>
          <w:p w:rsidR="00A935E9" w:rsidRPr="00E772B6" w:rsidRDefault="00A935E9" w:rsidP="00E772B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A935E9" w:rsidRPr="00E772B6" w:rsidTr="00A935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shd w:val="clear" w:color="auto" w:fill="auto"/>
          </w:tcPr>
          <w:p w:rsidR="00A935E9" w:rsidRPr="00E772B6" w:rsidRDefault="00A935E9" w:rsidP="00E772B6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6379" w:type="dxa"/>
            <w:vMerge/>
            <w:shd w:val="clear" w:color="auto" w:fill="auto"/>
          </w:tcPr>
          <w:p w:rsidR="00A935E9" w:rsidRPr="00E772B6" w:rsidRDefault="00A935E9" w:rsidP="00E772B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A935E9" w:rsidRPr="00E772B6" w:rsidTr="00A935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shd w:val="clear" w:color="auto" w:fill="auto"/>
          </w:tcPr>
          <w:p w:rsidR="00A935E9" w:rsidRPr="00E772B6" w:rsidRDefault="00A935E9" w:rsidP="00E772B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72B6">
              <w:rPr>
                <w:rFonts w:ascii="Arial" w:hAnsi="Arial" w:cs="Arial"/>
                <w:sz w:val="22"/>
                <w:szCs w:val="22"/>
              </w:rPr>
              <w:lastRenderedPageBreak/>
              <w:t>3.Mobilizácia kreatívneho potenciálu v regiónoch</w:t>
            </w:r>
          </w:p>
        </w:tc>
        <w:tc>
          <w:tcPr>
            <w:tcW w:w="6379" w:type="dxa"/>
            <w:shd w:val="clear" w:color="auto" w:fill="auto"/>
          </w:tcPr>
          <w:p w:rsidR="00A935E9" w:rsidRPr="00E772B6" w:rsidRDefault="00A935E9" w:rsidP="00E772B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iCs/>
                <w:sz w:val="22"/>
                <w:szCs w:val="22"/>
              </w:rPr>
            </w:pPr>
            <w:r w:rsidRPr="00E772B6">
              <w:rPr>
                <w:rFonts w:ascii="Arial" w:hAnsi="Arial" w:cs="Arial"/>
                <w:iCs/>
                <w:sz w:val="22"/>
                <w:szCs w:val="22"/>
              </w:rPr>
              <w:t>3.1 Stimulovanie podpory udržateľnej zamestnanosti a tvorby pracovných miest v kultúrnom a kreatívnom priemysle prostredníctvom vytvorenia priaznivého prostredia  pre rozvoj kreatívneho talentu, netechnologických inovácií</w:t>
            </w:r>
          </w:p>
        </w:tc>
      </w:tr>
      <w:tr w:rsidR="00A935E9" w:rsidRPr="00E772B6" w:rsidTr="00A935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Merge w:val="restart"/>
            <w:shd w:val="clear" w:color="auto" w:fill="auto"/>
          </w:tcPr>
          <w:p w:rsidR="00A935E9" w:rsidRPr="00E772B6" w:rsidRDefault="00A935E9" w:rsidP="00E772B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72B6">
              <w:rPr>
                <w:rFonts w:ascii="Arial" w:hAnsi="Arial" w:cs="Arial"/>
                <w:sz w:val="22"/>
                <w:szCs w:val="22"/>
              </w:rPr>
              <w:t>4. Zlepšenie kvality života v regiónoch s dôrazom na životné prostredie</w:t>
            </w:r>
          </w:p>
          <w:p w:rsidR="00A935E9" w:rsidRPr="00E772B6" w:rsidRDefault="00A935E9" w:rsidP="00E772B6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6379" w:type="dxa"/>
            <w:shd w:val="clear" w:color="auto" w:fill="auto"/>
            <w:hideMark/>
          </w:tcPr>
          <w:p w:rsidR="00A935E9" w:rsidRPr="00E772B6" w:rsidRDefault="00A935E9" w:rsidP="00E772B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sz w:val="22"/>
                <w:szCs w:val="22"/>
              </w:rPr>
            </w:pPr>
            <w:r w:rsidRPr="00E772B6">
              <w:rPr>
                <w:rFonts w:ascii="Arial" w:hAnsi="Arial" w:cs="Arial"/>
                <w:iCs/>
                <w:sz w:val="22"/>
                <w:szCs w:val="22"/>
              </w:rPr>
              <w:t>4.1 Zvýšenie energetickej efektívnosti bytových domov</w:t>
            </w:r>
          </w:p>
        </w:tc>
      </w:tr>
      <w:tr w:rsidR="00A935E9" w:rsidRPr="00E772B6" w:rsidTr="00A935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Merge/>
            <w:shd w:val="clear" w:color="auto" w:fill="auto"/>
          </w:tcPr>
          <w:p w:rsidR="00A935E9" w:rsidRPr="00E772B6" w:rsidRDefault="00A935E9" w:rsidP="00E772B6">
            <w:pPr>
              <w:jc w:val="both"/>
              <w:rPr>
                <w:rFonts w:ascii="Arial" w:eastAsia="Trebuchet MS" w:hAnsi="Arial" w:cs="Arial"/>
                <w:b w:val="0"/>
                <w:bCs w:val="0"/>
                <w:iCs/>
                <w:sz w:val="22"/>
                <w:szCs w:val="22"/>
              </w:rPr>
            </w:pPr>
          </w:p>
        </w:tc>
        <w:tc>
          <w:tcPr>
            <w:tcW w:w="6379" w:type="dxa"/>
            <w:vMerge w:val="restart"/>
            <w:shd w:val="clear" w:color="auto" w:fill="auto"/>
          </w:tcPr>
          <w:p w:rsidR="00A935E9" w:rsidRPr="00E772B6" w:rsidRDefault="00A935E9" w:rsidP="00E772B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iCs/>
                <w:sz w:val="22"/>
                <w:szCs w:val="22"/>
              </w:rPr>
            </w:pPr>
            <w:r w:rsidRPr="00E772B6">
              <w:rPr>
                <w:rFonts w:ascii="Arial" w:hAnsi="Arial" w:cs="Arial"/>
                <w:iCs/>
                <w:sz w:val="22"/>
                <w:szCs w:val="22"/>
              </w:rPr>
              <w:t>4.2.1 Zvýšenie podielu obyvateľstva so zlepšeným zásobovaním pitnou vodou a odvádzanie a čistenie  odpadových vôd verejnou kanalizáciou bez negatívnych dopadov na životné prostredie</w:t>
            </w:r>
          </w:p>
        </w:tc>
      </w:tr>
      <w:tr w:rsidR="00A935E9" w:rsidRPr="00E772B6" w:rsidTr="00A935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Merge/>
            <w:shd w:val="clear" w:color="auto" w:fill="auto"/>
          </w:tcPr>
          <w:p w:rsidR="00A935E9" w:rsidRPr="00E772B6" w:rsidRDefault="00A935E9" w:rsidP="00E772B6">
            <w:pPr>
              <w:jc w:val="both"/>
              <w:rPr>
                <w:rFonts w:ascii="Arial" w:eastAsia="Trebuchet MS" w:hAnsi="Arial" w:cs="Arial"/>
                <w:b w:val="0"/>
                <w:bCs w:val="0"/>
                <w:iCs/>
                <w:sz w:val="22"/>
                <w:szCs w:val="22"/>
              </w:rPr>
            </w:pPr>
          </w:p>
        </w:tc>
        <w:tc>
          <w:tcPr>
            <w:tcW w:w="6379" w:type="dxa"/>
            <w:vMerge/>
            <w:shd w:val="clear" w:color="auto" w:fill="auto"/>
            <w:hideMark/>
          </w:tcPr>
          <w:p w:rsidR="00A935E9" w:rsidRPr="00E772B6" w:rsidRDefault="00A935E9" w:rsidP="00E772B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A935E9" w:rsidRPr="00E772B6" w:rsidTr="00A935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Merge/>
            <w:shd w:val="clear" w:color="auto" w:fill="auto"/>
          </w:tcPr>
          <w:p w:rsidR="00A935E9" w:rsidRPr="00E772B6" w:rsidRDefault="00A935E9" w:rsidP="00E772B6">
            <w:pPr>
              <w:jc w:val="both"/>
              <w:rPr>
                <w:rFonts w:ascii="Arial" w:eastAsia="Trebuchet MS" w:hAnsi="Arial" w:cs="Arial"/>
                <w:b w:val="0"/>
                <w:bCs w:val="0"/>
                <w:iCs/>
                <w:sz w:val="22"/>
                <w:szCs w:val="22"/>
              </w:rPr>
            </w:pPr>
          </w:p>
        </w:tc>
        <w:tc>
          <w:tcPr>
            <w:tcW w:w="6379" w:type="dxa"/>
            <w:shd w:val="clear" w:color="auto" w:fill="auto"/>
            <w:hideMark/>
          </w:tcPr>
          <w:p w:rsidR="00A935E9" w:rsidRPr="00E772B6" w:rsidRDefault="00A935E9" w:rsidP="00E772B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iCs/>
                <w:sz w:val="22"/>
                <w:szCs w:val="22"/>
              </w:rPr>
            </w:pPr>
            <w:r w:rsidRPr="00E772B6">
              <w:rPr>
                <w:rFonts w:ascii="Arial" w:hAnsi="Arial" w:cs="Arial"/>
                <w:iCs/>
                <w:sz w:val="22"/>
                <w:szCs w:val="22"/>
              </w:rPr>
              <w:t>4.3.1 Zlepšenie environmentálnych aspektov v mestách a mestských oblastiach prostredníctvom budovania prvkov zelenej infraštruktúry a adaptáciou urbanizovaného prostredia na zmenu klímy ako aj zavádzaním systémových prvkov znižovania znečistenia ovzdušia a hluku.</w:t>
            </w:r>
          </w:p>
        </w:tc>
      </w:tr>
      <w:tr w:rsidR="00A935E9" w:rsidRPr="00E772B6" w:rsidTr="00E772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Merge w:val="restart"/>
            <w:shd w:val="clear" w:color="auto" w:fill="auto"/>
          </w:tcPr>
          <w:p w:rsidR="00A935E9" w:rsidRPr="00E772B6" w:rsidRDefault="00A935E9" w:rsidP="00E772B6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E772B6">
              <w:rPr>
                <w:rFonts w:ascii="Arial" w:hAnsi="Arial" w:cs="Arial"/>
                <w:sz w:val="22"/>
                <w:szCs w:val="22"/>
              </w:rPr>
              <w:t>5. Miestny rozvoj vedený komunitou</w:t>
            </w:r>
          </w:p>
        </w:tc>
        <w:tc>
          <w:tcPr>
            <w:tcW w:w="6379" w:type="dxa"/>
            <w:shd w:val="clear" w:color="auto" w:fill="auto"/>
          </w:tcPr>
          <w:p w:rsidR="00A935E9" w:rsidRPr="00E772B6" w:rsidRDefault="00A935E9" w:rsidP="00E772B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sz w:val="22"/>
                <w:szCs w:val="22"/>
              </w:rPr>
            </w:pPr>
            <w:r w:rsidRPr="00E772B6">
              <w:rPr>
                <w:rFonts w:ascii="Arial" w:hAnsi="Arial" w:cs="Arial"/>
                <w:iCs/>
                <w:sz w:val="22"/>
                <w:szCs w:val="22"/>
              </w:rPr>
              <w:t>5.1.1 Zvýšenie zamestnanosti na miestnej úrovni podporou podnikania a inovácií</w:t>
            </w:r>
            <w:r w:rsidRPr="00E772B6">
              <w:rPr>
                <w:rFonts w:ascii="Arial" w:hAnsi="Arial" w:cs="Arial"/>
                <w:i/>
                <w:sz w:val="22"/>
                <w:szCs w:val="22"/>
              </w:rPr>
              <w:t> </w:t>
            </w:r>
          </w:p>
        </w:tc>
      </w:tr>
      <w:tr w:rsidR="00A935E9" w:rsidRPr="00E772B6" w:rsidTr="00A935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Merge/>
            <w:shd w:val="clear" w:color="auto" w:fill="auto"/>
          </w:tcPr>
          <w:p w:rsidR="00A935E9" w:rsidRPr="00E772B6" w:rsidRDefault="00A935E9" w:rsidP="00E772B6">
            <w:pPr>
              <w:jc w:val="both"/>
              <w:rPr>
                <w:rFonts w:ascii="Arial" w:eastAsia="Trebuchet MS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6379" w:type="dxa"/>
            <w:shd w:val="clear" w:color="auto" w:fill="auto"/>
          </w:tcPr>
          <w:p w:rsidR="00A935E9" w:rsidRPr="00E772B6" w:rsidRDefault="00A935E9" w:rsidP="00E772B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iCs/>
                <w:sz w:val="22"/>
                <w:szCs w:val="22"/>
              </w:rPr>
            </w:pPr>
            <w:r w:rsidRPr="00E772B6">
              <w:rPr>
                <w:rFonts w:ascii="Arial" w:hAnsi="Arial" w:cs="Arial"/>
                <w:iCs/>
                <w:sz w:val="22"/>
                <w:szCs w:val="22"/>
              </w:rPr>
              <w:t>5.1.2 Zlepšenie udržateľných vzťahov medzi vidieckymi rozvojovými centrami a ich zázemím vo verejných službách a vo verejných infraštruktúrach</w:t>
            </w:r>
          </w:p>
        </w:tc>
      </w:tr>
      <w:tr w:rsidR="00A935E9" w:rsidRPr="00E772B6" w:rsidTr="00A935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Merge w:val="restart"/>
            <w:shd w:val="clear" w:color="auto" w:fill="auto"/>
          </w:tcPr>
          <w:p w:rsidR="00A935E9" w:rsidRPr="00E772B6" w:rsidRDefault="00A935E9" w:rsidP="00E772B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72B6">
              <w:rPr>
                <w:rFonts w:ascii="Arial" w:hAnsi="Arial" w:cs="Arial"/>
                <w:sz w:val="22"/>
                <w:szCs w:val="22"/>
              </w:rPr>
              <w:t>6. Technická pomoc</w:t>
            </w:r>
          </w:p>
        </w:tc>
        <w:tc>
          <w:tcPr>
            <w:tcW w:w="6379" w:type="dxa"/>
            <w:vMerge w:val="restart"/>
            <w:shd w:val="clear" w:color="auto" w:fill="auto"/>
          </w:tcPr>
          <w:p w:rsidR="00A935E9" w:rsidRPr="00E772B6" w:rsidRDefault="00A935E9" w:rsidP="00E772B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sz w:val="22"/>
                <w:szCs w:val="22"/>
              </w:rPr>
            </w:pPr>
            <w:r w:rsidRPr="00E772B6">
              <w:rPr>
                <w:rFonts w:ascii="Arial" w:hAnsi="Arial" w:cs="Arial"/>
                <w:iCs/>
                <w:sz w:val="22"/>
                <w:szCs w:val="22"/>
              </w:rPr>
              <w:t>6.1 Podpora efektívnej implementácie Operačného programu</w:t>
            </w:r>
          </w:p>
        </w:tc>
      </w:tr>
      <w:tr w:rsidR="00A935E9" w:rsidRPr="00E772B6" w:rsidTr="00E772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Merge/>
            <w:shd w:val="clear" w:color="auto" w:fill="auto"/>
          </w:tcPr>
          <w:p w:rsidR="00A935E9" w:rsidRPr="00E772B6" w:rsidRDefault="00A935E9" w:rsidP="00E772B6">
            <w:pPr>
              <w:jc w:val="both"/>
              <w:rPr>
                <w:rFonts w:ascii="Arial" w:eastAsia="Trebuchet MS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6379" w:type="dxa"/>
            <w:vMerge/>
            <w:shd w:val="clear" w:color="auto" w:fill="auto"/>
          </w:tcPr>
          <w:p w:rsidR="00A935E9" w:rsidRPr="00E772B6" w:rsidRDefault="00A935E9" w:rsidP="00E772B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A935E9" w:rsidRPr="00E772B6" w:rsidTr="00A935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Merge/>
            <w:shd w:val="clear" w:color="auto" w:fill="auto"/>
          </w:tcPr>
          <w:p w:rsidR="00A935E9" w:rsidRPr="00E772B6" w:rsidRDefault="00A935E9" w:rsidP="00E772B6">
            <w:pPr>
              <w:jc w:val="both"/>
              <w:rPr>
                <w:rFonts w:ascii="Arial" w:eastAsia="Trebuchet MS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6379" w:type="dxa"/>
            <w:vMerge w:val="restart"/>
            <w:shd w:val="clear" w:color="auto" w:fill="auto"/>
          </w:tcPr>
          <w:p w:rsidR="00A935E9" w:rsidRPr="00E772B6" w:rsidRDefault="00A935E9" w:rsidP="00E772B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sz w:val="22"/>
                <w:szCs w:val="22"/>
              </w:rPr>
            </w:pPr>
            <w:r w:rsidRPr="00E772B6">
              <w:rPr>
                <w:rFonts w:ascii="Arial" w:hAnsi="Arial" w:cs="Arial"/>
                <w:iCs/>
                <w:sz w:val="22"/>
                <w:szCs w:val="22"/>
              </w:rPr>
              <w:t>6.2 Zabezpečenie publicity, informovania a podpory prijímateľov v procese implementácie</w:t>
            </w:r>
          </w:p>
        </w:tc>
      </w:tr>
      <w:tr w:rsidR="00A935E9" w:rsidRPr="00E772B6" w:rsidTr="00A935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Merge/>
            <w:shd w:val="clear" w:color="auto" w:fill="auto"/>
          </w:tcPr>
          <w:p w:rsidR="00A935E9" w:rsidRPr="00E772B6" w:rsidRDefault="00A935E9" w:rsidP="00E772B6">
            <w:pPr>
              <w:jc w:val="both"/>
              <w:rPr>
                <w:rFonts w:ascii="Arial" w:eastAsia="Trebuchet MS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6379" w:type="dxa"/>
            <w:vMerge/>
            <w:shd w:val="clear" w:color="auto" w:fill="auto"/>
          </w:tcPr>
          <w:p w:rsidR="00A935E9" w:rsidRPr="00E772B6" w:rsidRDefault="00A935E9" w:rsidP="00E772B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</w:tbl>
    <w:p w:rsidR="00245F98" w:rsidRPr="00E772B6" w:rsidRDefault="00245F98" w:rsidP="00E772B6">
      <w:pPr>
        <w:spacing w:after="0" w:line="240" w:lineRule="auto"/>
        <w:jc w:val="both"/>
        <w:rPr>
          <w:rFonts w:ascii="Arial" w:hAnsi="Arial" w:cs="Arial"/>
        </w:rPr>
      </w:pPr>
    </w:p>
    <w:p w:rsidR="00E772B6" w:rsidRDefault="00E772B6" w:rsidP="00E772B6">
      <w:pPr>
        <w:tabs>
          <w:tab w:val="left" w:pos="9072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/>
        </w:rPr>
      </w:pPr>
      <w:r w:rsidRPr="00E772B6">
        <w:rPr>
          <w:rFonts w:ascii="Arial" w:hAnsi="Arial" w:cs="Arial"/>
          <w:b/>
        </w:rPr>
        <w:t xml:space="preserve">Hlavné dosiahnuté ciele a úspechy implementácie IROP v roku 2018 </w:t>
      </w:r>
    </w:p>
    <w:p w:rsidR="00E772B6" w:rsidRDefault="00E772B6" w:rsidP="00E772B6">
      <w:pPr>
        <w:tabs>
          <w:tab w:val="left" w:pos="9072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</w:rPr>
      </w:pPr>
      <w:r w:rsidRPr="00E772B6">
        <w:rPr>
          <w:rFonts w:ascii="Arial" w:hAnsi="Arial" w:cs="Arial"/>
        </w:rPr>
        <w:t xml:space="preserve">V roku 2018 sa Riadiaci orgán pre IROP </w:t>
      </w:r>
      <w:r>
        <w:rPr>
          <w:rFonts w:ascii="Arial" w:hAnsi="Arial" w:cs="Arial"/>
        </w:rPr>
        <w:t>a Sprostredkovateľské orgány</w:t>
      </w:r>
      <w:r w:rsidRPr="00E772B6">
        <w:rPr>
          <w:rFonts w:ascii="Arial" w:hAnsi="Arial" w:cs="Arial"/>
        </w:rPr>
        <w:t xml:space="preserve"> kvôli zrýchleniu procesov implementácie, plnenia cieľov IROP a zvýšenia úrovne čerpania alokovaných finančných prostriedkov sústredil</w:t>
      </w:r>
      <w:r>
        <w:rPr>
          <w:rFonts w:ascii="Arial" w:hAnsi="Arial" w:cs="Arial"/>
        </w:rPr>
        <w:t>i</w:t>
      </w:r>
      <w:r w:rsidRPr="00E772B6">
        <w:rPr>
          <w:rFonts w:ascii="Arial" w:hAnsi="Arial" w:cs="Arial"/>
        </w:rPr>
        <w:t xml:space="preserve"> najmä na nasledovné úlohy a priority:</w:t>
      </w:r>
    </w:p>
    <w:p w:rsidR="00E772B6" w:rsidRPr="00E772B6" w:rsidRDefault="00E772B6" w:rsidP="00E772B6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E772B6" w:rsidRPr="00E772B6" w:rsidRDefault="00E772B6" w:rsidP="00E772B6">
      <w:pPr>
        <w:pStyle w:val="Odsekzoznamu"/>
        <w:numPr>
          <w:ilvl w:val="0"/>
          <w:numId w:val="7"/>
        </w:numPr>
        <w:tabs>
          <w:tab w:val="left" w:pos="907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772B6">
        <w:rPr>
          <w:rFonts w:ascii="Arial" w:hAnsi="Arial" w:cs="Arial"/>
          <w:sz w:val="22"/>
          <w:szCs w:val="22"/>
        </w:rPr>
        <w:t xml:space="preserve">vyhlasovanie výziev/vyzvaní na predkladanie </w:t>
      </w:r>
      <w:proofErr w:type="spellStart"/>
      <w:r w:rsidRPr="00E772B6">
        <w:rPr>
          <w:rFonts w:ascii="Arial" w:hAnsi="Arial" w:cs="Arial"/>
          <w:sz w:val="22"/>
          <w:szCs w:val="22"/>
        </w:rPr>
        <w:t>ŽoNFP</w:t>
      </w:r>
      <w:proofErr w:type="spellEnd"/>
      <w:r w:rsidRPr="00E772B6">
        <w:rPr>
          <w:rFonts w:ascii="Arial" w:hAnsi="Arial" w:cs="Arial"/>
          <w:sz w:val="22"/>
          <w:szCs w:val="22"/>
        </w:rPr>
        <w:t xml:space="preserve"> (ďalej aj „výzva“)</w:t>
      </w:r>
    </w:p>
    <w:p w:rsidR="00E772B6" w:rsidRPr="00E772B6" w:rsidRDefault="00E772B6" w:rsidP="00E772B6">
      <w:pPr>
        <w:pStyle w:val="Odsekzoznamu"/>
        <w:numPr>
          <w:ilvl w:val="0"/>
          <w:numId w:val="7"/>
        </w:numPr>
        <w:tabs>
          <w:tab w:val="left" w:pos="907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772B6">
        <w:rPr>
          <w:rFonts w:ascii="Arial" w:hAnsi="Arial" w:cs="Arial"/>
          <w:sz w:val="22"/>
          <w:szCs w:val="22"/>
        </w:rPr>
        <w:t xml:space="preserve">administratívne overenie a odborné hodnotenie predložených </w:t>
      </w:r>
      <w:proofErr w:type="spellStart"/>
      <w:r w:rsidRPr="00E772B6">
        <w:rPr>
          <w:rFonts w:ascii="Arial" w:hAnsi="Arial" w:cs="Arial"/>
          <w:sz w:val="22"/>
          <w:szCs w:val="22"/>
        </w:rPr>
        <w:t>ŽoNFP</w:t>
      </w:r>
      <w:proofErr w:type="spellEnd"/>
      <w:r w:rsidRPr="00E772B6">
        <w:rPr>
          <w:rFonts w:ascii="Arial" w:hAnsi="Arial" w:cs="Arial"/>
          <w:sz w:val="22"/>
          <w:szCs w:val="22"/>
        </w:rPr>
        <w:t xml:space="preserve">, zabezpečenie procesu odborného hodnotenia </w:t>
      </w:r>
      <w:proofErr w:type="spellStart"/>
      <w:r w:rsidRPr="00E772B6">
        <w:rPr>
          <w:rFonts w:ascii="Arial" w:hAnsi="Arial" w:cs="Arial"/>
          <w:sz w:val="22"/>
          <w:szCs w:val="22"/>
        </w:rPr>
        <w:t>ŽoNFP</w:t>
      </w:r>
      <w:proofErr w:type="spellEnd"/>
      <w:r w:rsidRPr="00E772B6">
        <w:rPr>
          <w:rFonts w:ascii="Arial" w:hAnsi="Arial" w:cs="Arial"/>
          <w:sz w:val="22"/>
          <w:szCs w:val="22"/>
        </w:rPr>
        <w:t xml:space="preserve"> externými hodnotiteľmi na RO a SO</w:t>
      </w:r>
    </w:p>
    <w:p w:rsidR="00E772B6" w:rsidRPr="00E772B6" w:rsidRDefault="00E772B6" w:rsidP="00E772B6">
      <w:pPr>
        <w:pStyle w:val="Odsekzoznamu"/>
        <w:numPr>
          <w:ilvl w:val="0"/>
          <w:numId w:val="7"/>
        </w:numPr>
        <w:tabs>
          <w:tab w:val="left" w:pos="907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772B6">
        <w:rPr>
          <w:rFonts w:ascii="Arial" w:hAnsi="Arial" w:cs="Arial"/>
          <w:sz w:val="22"/>
          <w:szCs w:val="22"/>
        </w:rPr>
        <w:t xml:space="preserve">prípravu rozhodnutí o schválení/neschválení/zastavení </w:t>
      </w:r>
      <w:proofErr w:type="spellStart"/>
      <w:r w:rsidRPr="00E772B6">
        <w:rPr>
          <w:rFonts w:ascii="Arial" w:hAnsi="Arial" w:cs="Arial"/>
          <w:sz w:val="22"/>
          <w:szCs w:val="22"/>
        </w:rPr>
        <w:t>ŽoNFP</w:t>
      </w:r>
      <w:proofErr w:type="spellEnd"/>
    </w:p>
    <w:p w:rsidR="00E772B6" w:rsidRDefault="00E772B6" w:rsidP="00E772B6">
      <w:pPr>
        <w:pStyle w:val="Odsekzoznamu"/>
        <w:numPr>
          <w:ilvl w:val="0"/>
          <w:numId w:val="7"/>
        </w:numPr>
        <w:tabs>
          <w:tab w:val="left" w:pos="907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772B6">
        <w:rPr>
          <w:rFonts w:ascii="Arial" w:hAnsi="Arial" w:cs="Arial"/>
          <w:sz w:val="22"/>
          <w:szCs w:val="22"/>
        </w:rPr>
        <w:t>prípravu zmlúv o poskytnutí NFP</w:t>
      </w:r>
    </w:p>
    <w:p w:rsidR="00E772B6" w:rsidRPr="00E772B6" w:rsidRDefault="00E772B6" w:rsidP="00E772B6">
      <w:pPr>
        <w:pStyle w:val="Odsekzoznamu"/>
        <w:tabs>
          <w:tab w:val="left" w:pos="907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E772B6" w:rsidRDefault="00E772B6" w:rsidP="00E772B6">
      <w:pPr>
        <w:spacing w:before="120" w:after="0" w:line="240" w:lineRule="auto"/>
        <w:ind w:right="57"/>
        <w:jc w:val="both"/>
        <w:rPr>
          <w:rFonts w:ascii="Arial" w:hAnsi="Arial" w:cs="Arial"/>
        </w:rPr>
      </w:pPr>
      <w:r w:rsidRPr="00E772B6">
        <w:rPr>
          <w:rFonts w:ascii="Arial" w:hAnsi="Arial" w:cs="Arial"/>
          <w:b/>
        </w:rPr>
        <w:t>Zameranie vyhlásených výziev/písomných vyzvaní</w:t>
      </w:r>
      <w:r w:rsidRPr="00E772B6">
        <w:rPr>
          <w:rFonts w:ascii="Arial" w:hAnsi="Arial" w:cs="Arial"/>
        </w:rPr>
        <w:t xml:space="preserve"> </w:t>
      </w:r>
    </w:p>
    <w:p w:rsidR="00E772B6" w:rsidRPr="00E772B6" w:rsidRDefault="00E772B6" w:rsidP="00E772B6">
      <w:pPr>
        <w:spacing w:before="120" w:after="0" w:line="240" w:lineRule="auto"/>
        <w:jc w:val="both"/>
        <w:rPr>
          <w:rFonts w:ascii="Arial" w:hAnsi="Arial" w:cs="Arial"/>
        </w:rPr>
      </w:pPr>
      <w:r w:rsidRPr="00E772B6">
        <w:rPr>
          <w:rFonts w:ascii="Arial" w:hAnsi="Arial" w:cs="Arial"/>
        </w:rPr>
        <w:t xml:space="preserve">Hlavným nástrojom zabezpečenia plnenia cieľov bola príprava a vyhlasovanie výziev na predkladanie </w:t>
      </w:r>
      <w:proofErr w:type="spellStart"/>
      <w:r w:rsidRPr="00E772B6">
        <w:rPr>
          <w:rFonts w:ascii="Arial" w:hAnsi="Arial" w:cs="Arial"/>
        </w:rPr>
        <w:t>ŽoNFP</w:t>
      </w:r>
      <w:proofErr w:type="spellEnd"/>
      <w:r w:rsidRPr="00E772B6">
        <w:rPr>
          <w:rFonts w:ascii="Arial" w:hAnsi="Arial" w:cs="Arial"/>
        </w:rPr>
        <w:t xml:space="preserve"> v súlade s indikatívnym harmonogramom výziev. K 31.12.2018 bolo od začiatku programovacieho obdobia celkovo vyhlásených 38 výziev/vyzvaní v indikatívnej sume 1,53 mld. EUR (zdroj EÚ), čo je 87,9 % z celkovej alokácie IROP.</w:t>
      </w:r>
    </w:p>
    <w:p w:rsidR="00E772B6" w:rsidRPr="00E772B6" w:rsidRDefault="00E772B6" w:rsidP="00E772B6">
      <w:pPr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E772B6">
        <w:rPr>
          <w:rFonts w:ascii="Arial" w:eastAsia="Calibri" w:hAnsi="Arial" w:cs="Arial"/>
        </w:rPr>
        <w:t xml:space="preserve">V rámci vyhlásených výziev bolo </w:t>
      </w:r>
      <w:r w:rsidRPr="00E772B6">
        <w:rPr>
          <w:rFonts w:ascii="Arial" w:eastAsia="Calibri" w:hAnsi="Arial" w:cs="Arial"/>
          <w:color w:val="000000"/>
        </w:rPr>
        <w:t xml:space="preserve">predložených 2 677 </w:t>
      </w:r>
      <w:proofErr w:type="spellStart"/>
      <w:r w:rsidRPr="00E772B6">
        <w:rPr>
          <w:rFonts w:ascii="Arial" w:eastAsia="Calibri" w:hAnsi="Arial" w:cs="Arial"/>
          <w:color w:val="000000"/>
        </w:rPr>
        <w:t>ŽoNFP</w:t>
      </w:r>
      <w:proofErr w:type="spellEnd"/>
      <w:r w:rsidRPr="00E772B6">
        <w:rPr>
          <w:rFonts w:ascii="Arial" w:eastAsia="Calibri" w:hAnsi="Arial" w:cs="Arial"/>
          <w:color w:val="000000"/>
        </w:rPr>
        <w:t xml:space="preserve"> v sume 1,43 mld. EUR. Celkovo bolo vydaných 1 186 rozhodnutí o schválení </w:t>
      </w:r>
      <w:proofErr w:type="spellStart"/>
      <w:r w:rsidRPr="00E772B6">
        <w:rPr>
          <w:rFonts w:ascii="Arial" w:eastAsia="Calibri" w:hAnsi="Arial" w:cs="Arial"/>
          <w:color w:val="000000"/>
        </w:rPr>
        <w:t>ŽoNFP</w:t>
      </w:r>
      <w:proofErr w:type="spellEnd"/>
      <w:r w:rsidRPr="00E772B6">
        <w:rPr>
          <w:rFonts w:ascii="Arial" w:eastAsia="Calibri" w:hAnsi="Arial" w:cs="Arial"/>
          <w:color w:val="000000"/>
        </w:rPr>
        <w:t xml:space="preserve"> vo výške 959,7 mil. EUR, z toho je pre 1 064 projektov uzatvorená zmluva o poskytnutí NFP celkovo v sume 835,3 mil. EUR. </w:t>
      </w:r>
    </w:p>
    <w:p w:rsidR="00E772B6" w:rsidRPr="00E772B6" w:rsidRDefault="00E772B6" w:rsidP="00E772B6">
      <w:pPr>
        <w:spacing w:after="0" w:line="240" w:lineRule="auto"/>
        <w:jc w:val="both"/>
        <w:rPr>
          <w:rFonts w:ascii="Arial" w:hAnsi="Arial" w:cs="Arial"/>
        </w:rPr>
      </w:pPr>
      <w:r w:rsidRPr="00E772B6">
        <w:rPr>
          <w:rFonts w:ascii="Arial" w:hAnsi="Arial" w:cs="Arial"/>
        </w:rPr>
        <w:t xml:space="preserve">V roku 2018 boli dopytovo-orientované výzvy zamerané najmä na podporu dopravnej infraštruktúry (zlepšenie verejnej autobusovej dopravy), školskej infraštruktúry (podporu stredných odborných škôl), </w:t>
      </w:r>
      <w:proofErr w:type="spellStart"/>
      <w:r w:rsidRPr="00E772B6">
        <w:rPr>
          <w:rFonts w:ascii="Arial" w:hAnsi="Arial" w:cs="Arial"/>
        </w:rPr>
        <w:t>deinštitucionalizáciu</w:t>
      </w:r>
      <w:proofErr w:type="spellEnd"/>
      <w:r w:rsidRPr="00E772B6">
        <w:rPr>
          <w:rFonts w:ascii="Arial" w:hAnsi="Arial" w:cs="Arial"/>
        </w:rPr>
        <w:t xml:space="preserve"> poskytovania sociálnych služieb, </w:t>
      </w:r>
      <w:r w:rsidRPr="00E772B6">
        <w:rPr>
          <w:rFonts w:ascii="Arial" w:hAnsi="Arial" w:cs="Arial"/>
        </w:rPr>
        <w:lastRenderedPageBreak/>
        <w:t>modernizáciu infraštruktúry polikliník a zlepšenie životného prostredia (podporu prvkov zelenej infraštruktúry, zásobovania pitnou vodou, verejnej kanalizácie).</w:t>
      </w:r>
    </w:p>
    <w:p w:rsidR="00E772B6" w:rsidRDefault="00E772B6" w:rsidP="00E772B6">
      <w:pPr>
        <w:spacing w:after="0" w:line="240" w:lineRule="auto"/>
        <w:jc w:val="both"/>
        <w:rPr>
          <w:rFonts w:ascii="Arial" w:hAnsi="Arial" w:cs="Arial"/>
        </w:rPr>
      </w:pPr>
      <w:r w:rsidRPr="00E772B6">
        <w:rPr>
          <w:rFonts w:ascii="Arial" w:hAnsi="Arial" w:cs="Arial"/>
        </w:rPr>
        <w:t>V súlade so schválených indikatívnym harmonogramom výziev plánuje RO vyhlásiť v roku 2019 ďalších 9 výziev spolu v sume 445,13 mil. EUR.</w:t>
      </w:r>
    </w:p>
    <w:p w:rsidR="00E772B6" w:rsidRPr="00E772B6" w:rsidRDefault="00E772B6" w:rsidP="00E772B6">
      <w:pPr>
        <w:spacing w:after="0" w:line="240" w:lineRule="auto"/>
        <w:jc w:val="both"/>
        <w:rPr>
          <w:rFonts w:ascii="Arial" w:hAnsi="Arial" w:cs="Arial"/>
        </w:rPr>
      </w:pPr>
    </w:p>
    <w:p w:rsidR="00E772B6" w:rsidRDefault="00E772B6" w:rsidP="00E772B6">
      <w:pPr>
        <w:spacing w:before="120" w:after="0" w:line="240" w:lineRule="auto"/>
        <w:jc w:val="both"/>
        <w:rPr>
          <w:rFonts w:ascii="Arial" w:hAnsi="Arial" w:cs="Arial"/>
          <w:b/>
        </w:rPr>
      </w:pPr>
      <w:r w:rsidRPr="00E772B6">
        <w:rPr>
          <w:rFonts w:ascii="Arial" w:hAnsi="Arial" w:cs="Arial"/>
          <w:b/>
        </w:rPr>
        <w:t>Pokrok v kontrahovaní a čerpaní alokácie programu</w:t>
      </w:r>
    </w:p>
    <w:p w:rsidR="00E772B6" w:rsidRDefault="00E772B6" w:rsidP="00E772B6">
      <w:pPr>
        <w:spacing w:before="120" w:after="0" w:line="240" w:lineRule="auto"/>
        <w:jc w:val="both"/>
        <w:rPr>
          <w:rFonts w:ascii="Arial" w:hAnsi="Arial" w:cs="Arial"/>
        </w:rPr>
      </w:pPr>
      <w:r w:rsidRPr="00E772B6">
        <w:rPr>
          <w:rFonts w:ascii="Arial" w:hAnsi="Arial" w:cs="Arial"/>
        </w:rPr>
        <w:t>K 31.12.2018 predstavovalo kontrahovanie 834,26 mil. EUR, t.j. 47,98%.</w:t>
      </w:r>
      <w:r>
        <w:rPr>
          <w:rFonts w:ascii="Arial" w:hAnsi="Arial" w:cs="Arial"/>
        </w:rPr>
        <w:t xml:space="preserve"> </w:t>
      </w:r>
    </w:p>
    <w:p w:rsidR="00E772B6" w:rsidRDefault="00E772B6" w:rsidP="00E772B6">
      <w:pPr>
        <w:spacing w:before="120" w:after="0" w:line="240" w:lineRule="auto"/>
        <w:jc w:val="both"/>
        <w:rPr>
          <w:rFonts w:ascii="Arial" w:hAnsi="Arial" w:cs="Arial"/>
        </w:rPr>
      </w:pPr>
      <w:r w:rsidRPr="00E772B6">
        <w:rPr>
          <w:rFonts w:ascii="Arial" w:hAnsi="Arial" w:cs="Arial"/>
        </w:rPr>
        <w:t xml:space="preserve">Čerpanie prostriedkov EÚ po zohľadnení nezrovnalostí a </w:t>
      </w:r>
      <w:proofErr w:type="spellStart"/>
      <w:r w:rsidRPr="00E772B6">
        <w:rPr>
          <w:rFonts w:ascii="Arial" w:hAnsi="Arial" w:cs="Arial"/>
        </w:rPr>
        <w:t>vratiek</w:t>
      </w:r>
      <w:proofErr w:type="spellEnd"/>
      <w:r w:rsidRPr="00E772B6">
        <w:rPr>
          <w:rFonts w:ascii="Arial" w:hAnsi="Arial" w:cs="Arial"/>
        </w:rPr>
        <w:t xml:space="preserve"> v rámci IROP dosiahlo výšku 210,21 mil. EUR, čo predstavuje 12,09 % -</w:t>
      </w:r>
      <w:proofErr w:type="spellStart"/>
      <w:r w:rsidRPr="00E772B6">
        <w:rPr>
          <w:rFonts w:ascii="Arial" w:hAnsi="Arial" w:cs="Arial"/>
        </w:rPr>
        <w:t>ný</w:t>
      </w:r>
      <w:proofErr w:type="spellEnd"/>
      <w:r w:rsidRPr="00E772B6">
        <w:rPr>
          <w:rFonts w:ascii="Arial" w:hAnsi="Arial" w:cs="Arial"/>
        </w:rPr>
        <w:t xml:space="preserve"> podiel čerpania prostriedkov EÚ na celkovej alokácii (1 738 834 120,00 EUR). </w:t>
      </w:r>
    </w:p>
    <w:p w:rsidR="00E772B6" w:rsidRPr="00E772B6" w:rsidRDefault="00E772B6" w:rsidP="00E772B6">
      <w:pPr>
        <w:spacing w:after="0" w:line="240" w:lineRule="auto"/>
        <w:jc w:val="both"/>
        <w:rPr>
          <w:rFonts w:ascii="Arial" w:hAnsi="Arial" w:cs="Arial"/>
        </w:rPr>
      </w:pPr>
    </w:p>
    <w:p w:rsidR="00E772B6" w:rsidRDefault="00E772B6" w:rsidP="00E772B6">
      <w:pPr>
        <w:spacing w:after="0" w:line="240" w:lineRule="auto"/>
        <w:jc w:val="both"/>
        <w:rPr>
          <w:rFonts w:ascii="Arial" w:hAnsi="Arial" w:cs="Arial"/>
        </w:rPr>
      </w:pPr>
      <w:r w:rsidRPr="00E772B6">
        <w:rPr>
          <w:rFonts w:ascii="Arial" w:hAnsi="Arial" w:cs="Arial"/>
        </w:rPr>
        <w:t>Pokrok v čerpaní oproti stavu k 31.12.2017 predstavuje nárast o 7,49 p. b., t. j. o 130,32 mil. EUR za zdroj EÚ (z toho prostriedky za finančné nástroje: 85,34 mil. EUR).</w:t>
      </w:r>
      <w:r>
        <w:rPr>
          <w:rFonts w:ascii="Arial" w:hAnsi="Arial" w:cs="Arial"/>
        </w:rPr>
        <w:t xml:space="preserve"> </w:t>
      </w:r>
      <w:r w:rsidRPr="00E772B6">
        <w:rPr>
          <w:rFonts w:ascii="Arial" w:hAnsi="Arial" w:cs="Arial"/>
        </w:rPr>
        <w:t>Najvyššie čerpanie bolo v rámci PO 4 na úrovni 56,75 %, ktorá obsahuje čerpanie za finančné nástroje, druhou najvyššie čerpanou prioritnou osou je PO 6 na úrovni 36,12 %.</w:t>
      </w:r>
    </w:p>
    <w:p w:rsidR="00E772B6" w:rsidRDefault="00E772B6" w:rsidP="00E772B6">
      <w:pPr>
        <w:spacing w:after="0" w:line="240" w:lineRule="auto"/>
        <w:jc w:val="both"/>
        <w:rPr>
          <w:rFonts w:ascii="Arial" w:hAnsi="Arial" w:cs="Arial"/>
        </w:rPr>
      </w:pPr>
    </w:p>
    <w:p w:rsidR="00A55C72" w:rsidRPr="00A55C72" w:rsidRDefault="00A55C72" w:rsidP="00A55C72">
      <w:pPr>
        <w:spacing w:before="120" w:after="0" w:line="240" w:lineRule="auto"/>
        <w:jc w:val="both"/>
        <w:rPr>
          <w:rFonts w:ascii="Arial" w:hAnsi="Arial" w:cs="Arial"/>
        </w:rPr>
      </w:pPr>
      <w:r w:rsidRPr="00A55C72">
        <w:rPr>
          <w:rFonts w:ascii="Arial" w:hAnsi="Arial" w:cs="Arial"/>
        </w:rPr>
        <w:t xml:space="preserve">Po pomalšom nábehu implementácie IROP z prevažne externých príčin je v rámci čiastkového hodnotenia k 31.12.2018 možné konštatovať, že sa podarilo dosiahnuť výrazný nárast objemu </w:t>
      </w:r>
      <w:proofErr w:type="spellStart"/>
      <w:r w:rsidRPr="00A55C72">
        <w:rPr>
          <w:rFonts w:ascii="Arial" w:hAnsi="Arial" w:cs="Arial"/>
        </w:rPr>
        <w:t>zazmluvnených</w:t>
      </w:r>
      <w:proofErr w:type="spellEnd"/>
      <w:r w:rsidRPr="00A55C72">
        <w:rPr>
          <w:rFonts w:ascii="Arial" w:hAnsi="Arial" w:cs="Arial"/>
        </w:rPr>
        <w:t xml:space="preserve"> projektov. Tento vývoj predstavuje základný predpoklad pre zrýchlenie ďalšieho čerpania alokovaných prostriedkov po zvyšok súčasného programového obdobia. Vzhľadom na vysokú mieru kontrahovania je realistické očakávať, že ciele väčšiny PO budú v rámci súčasného programového obdobia naplnené.</w:t>
      </w:r>
    </w:p>
    <w:p w:rsidR="00A55C72" w:rsidRPr="00A55C72" w:rsidRDefault="00A55C72" w:rsidP="00A55C72">
      <w:pPr>
        <w:spacing w:before="120" w:after="0" w:line="240" w:lineRule="auto"/>
        <w:jc w:val="both"/>
        <w:rPr>
          <w:rFonts w:ascii="Arial" w:hAnsi="Arial" w:cs="Arial"/>
        </w:rPr>
      </w:pPr>
      <w:r w:rsidRPr="00A55C72">
        <w:rPr>
          <w:rFonts w:ascii="Arial" w:hAnsi="Arial" w:cs="Arial"/>
        </w:rPr>
        <w:t xml:space="preserve">Záujem žiadateľov o podporu z IROP je vo všeobecnosti vysoký, čo vytvára priestor pre naplnenie cieľov v rámci väčšiny PO. Súčasné nastavenie OP sa ukázalo ako opodstatnené v prípade PO 1 a PO 4. Nakoľko v týchto PO existuje prirodzene vysoká absorpčná kapacita žiadateľov, stanovené koncové ciele IROP sa pri týchto PO s veľkou pravdepodobnosťou podarí do konca programového obdobia prekročiť. Úspešnosť možno deklarovať aj pri kontrahovaní v prípade PO 2. V rámci PO 2 zostáva problematický ŠC 2.1.1, ktorý je zameraný na </w:t>
      </w:r>
      <w:proofErr w:type="spellStart"/>
      <w:r w:rsidRPr="00A55C72">
        <w:rPr>
          <w:rFonts w:ascii="Arial" w:hAnsi="Arial" w:cs="Arial"/>
        </w:rPr>
        <w:t>deinšticionalizáciu</w:t>
      </w:r>
      <w:proofErr w:type="spellEnd"/>
      <w:r w:rsidRPr="00A55C72">
        <w:rPr>
          <w:rFonts w:ascii="Arial" w:hAnsi="Arial" w:cs="Arial"/>
        </w:rPr>
        <w:t xml:space="preserve"> sociálnych zariadení. Kontrahovanie prostriedkov</w:t>
      </w:r>
      <w:r>
        <w:rPr>
          <w:rFonts w:ascii="Arial" w:hAnsi="Arial" w:cs="Arial"/>
        </w:rPr>
        <w:t xml:space="preserve"> </w:t>
      </w:r>
      <w:r w:rsidRPr="00A55C72">
        <w:rPr>
          <w:rFonts w:ascii="Arial" w:hAnsi="Arial" w:cs="Arial"/>
        </w:rPr>
        <w:t xml:space="preserve">v rámci PO 5 je zatiaľ len priemerné vzhľadom na špecifickosť a komplikovanosť jej obsahového zamerania a taktiež vplyv externých faktorov, vykazuje ale priestor na ďalšie zefektívnenie čerpania. Neuspokojivá je situácia v rámci PO 3, ktorá vykazuje nulové čerpanie a kontrahovanie vzhľadom na súvisiace problémy s nastavením výziev. </w:t>
      </w:r>
    </w:p>
    <w:p w:rsidR="00A55C72" w:rsidRPr="00E772B6" w:rsidRDefault="00A55C72" w:rsidP="00A55C72">
      <w:pPr>
        <w:spacing w:before="120" w:after="0" w:line="240" w:lineRule="auto"/>
        <w:jc w:val="both"/>
        <w:rPr>
          <w:rFonts w:ascii="Arial" w:hAnsi="Arial" w:cs="Arial"/>
        </w:rPr>
      </w:pPr>
      <w:r w:rsidRPr="00A55C72">
        <w:rPr>
          <w:rFonts w:ascii="Arial" w:hAnsi="Arial" w:cs="Arial"/>
        </w:rPr>
        <w:t>Napriek dosiaľ celkovo vysokej miere kontrahovania alokovaných zdrojov sa IROP vyznačuje relatívne nízkou mierou čerpania. Tento stav vyplýva predovšetkým z oneskoreného začiatku implementácie súvisiaceho s nastavením komplexného systému IROP. Prvé dopytovo orientované výzvy boli vyhlásené až v októbri 2016, pričom kontrahovanie sa začalo až v auguste 2017. Vzhľadom na skutočnosť, že v rámci výziev IROP výrazne prevažujú investičné projekty stavebného charakteru s projektovým cyklom 2 roky, je realistické očakávať, že miera čerpania sa výrazne začne zvyšovať od roku 2019.</w:t>
      </w:r>
    </w:p>
    <w:p w:rsidR="00E772B6" w:rsidRPr="00E772B6" w:rsidRDefault="00E772B6" w:rsidP="00E772B6">
      <w:pPr>
        <w:spacing w:after="0" w:line="240" w:lineRule="auto"/>
        <w:jc w:val="both"/>
        <w:rPr>
          <w:rFonts w:ascii="Arial" w:hAnsi="Arial" w:cs="Arial"/>
          <w:b/>
        </w:rPr>
      </w:pPr>
    </w:p>
    <w:p w:rsidR="00F22143" w:rsidRDefault="005E6B6B" w:rsidP="00E772B6">
      <w:pPr>
        <w:spacing w:after="0" w:line="240" w:lineRule="auto"/>
        <w:jc w:val="both"/>
        <w:rPr>
          <w:rFonts w:ascii="Arial" w:hAnsi="Arial" w:cs="Arial"/>
          <w:b/>
        </w:rPr>
      </w:pPr>
      <w:r w:rsidRPr="00E772B6">
        <w:rPr>
          <w:rFonts w:ascii="Arial" w:hAnsi="Arial" w:cs="Arial"/>
          <w:b/>
        </w:rPr>
        <w:t xml:space="preserve">Príklady </w:t>
      </w:r>
      <w:r w:rsidR="00930C3F" w:rsidRPr="00E772B6">
        <w:rPr>
          <w:rFonts w:ascii="Arial" w:hAnsi="Arial" w:cs="Arial"/>
          <w:b/>
        </w:rPr>
        <w:t xml:space="preserve">projektov, ktoré </w:t>
      </w:r>
      <w:r w:rsidR="00180B68" w:rsidRPr="00E772B6">
        <w:rPr>
          <w:rFonts w:ascii="Arial" w:hAnsi="Arial" w:cs="Arial"/>
          <w:b/>
        </w:rPr>
        <w:t>sú</w:t>
      </w:r>
      <w:r w:rsidR="00930C3F" w:rsidRPr="00E772B6">
        <w:rPr>
          <w:rFonts w:ascii="Arial" w:hAnsi="Arial" w:cs="Arial"/>
          <w:b/>
        </w:rPr>
        <w:t xml:space="preserve"> realizované v rámci IROP</w:t>
      </w:r>
    </w:p>
    <w:p w:rsidR="00E772B6" w:rsidRPr="00E772B6" w:rsidRDefault="00E772B6" w:rsidP="00E772B6">
      <w:pPr>
        <w:spacing w:after="0" w:line="240" w:lineRule="auto"/>
        <w:jc w:val="both"/>
        <w:rPr>
          <w:rFonts w:ascii="Arial" w:hAnsi="Arial" w:cs="Arial"/>
          <w:b/>
        </w:rPr>
      </w:pPr>
    </w:p>
    <w:p w:rsidR="005E6B6B" w:rsidRPr="00E772B6" w:rsidRDefault="005E6B6B" w:rsidP="00E772B6">
      <w:pPr>
        <w:pStyle w:val="Odsekzoznamu"/>
        <w:numPr>
          <w:ilvl w:val="0"/>
          <w:numId w:val="8"/>
        </w:num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E772B6">
        <w:rPr>
          <w:rFonts w:ascii="Arial" w:hAnsi="Arial" w:cs="Arial"/>
          <w:b/>
          <w:sz w:val="22"/>
          <w:szCs w:val="22"/>
        </w:rPr>
        <w:t>Materská škola v</w:t>
      </w:r>
      <w:r w:rsidR="00E772B6" w:rsidRPr="00E772B6">
        <w:rPr>
          <w:rFonts w:ascii="Arial" w:hAnsi="Arial" w:cs="Arial"/>
          <w:b/>
          <w:sz w:val="22"/>
          <w:szCs w:val="22"/>
        </w:rPr>
        <w:t> </w:t>
      </w:r>
      <w:r w:rsidRPr="00E772B6">
        <w:rPr>
          <w:rFonts w:ascii="Arial" w:hAnsi="Arial" w:cs="Arial"/>
          <w:b/>
          <w:sz w:val="22"/>
          <w:szCs w:val="22"/>
        </w:rPr>
        <w:t>Hronseku</w:t>
      </w:r>
    </w:p>
    <w:p w:rsidR="00E772B6" w:rsidRPr="00E772B6" w:rsidRDefault="00E772B6" w:rsidP="00E772B6">
      <w:pPr>
        <w:pStyle w:val="Odsekzoznamu"/>
        <w:spacing w:before="120"/>
        <w:jc w:val="both"/>
        <w:rPr>
          <w:rFonts w:ascii="Arial" w:hAnsi="Arial" w:cs="Arial"/>
          <w:b/>
        </w:rPr>
      </w:pPr>
    </w:p>
    <w:p w:rsidR="00E772B6" w:rsidRPr="00E772B6" w:rsidRDefault="00E772B6" w:rsidP="00E772B6">
      <w:pPr>
        <w:pStyle w:val="Odsekzoznamu"/>
        <w:jc w:val="both"/>
        <w:rPr>
          <w:rFonts w:ascii="Arial" w:hAnsi="Arial" w:cs="Arial"/>
          <w:sz w:val="22"/>
          <w:szCs w:val="22"/>
        </w:rPr>
      </w:pPr>
      <w:r w:rsidRPr="00E772B6">
        <w:rPr>
          <w:rFonts w:ascii="Arial" w:hAnsi="Arial" w:cs="Arial"/>
          <w:sz w:val="22"/>
          <w:szCs w:val="22"/>
        </w:rPr>
        <w:t>Prijímateľ: Obec Hronsek</w:t>
      </w:r>
    </w:p>
    <w:p w:rsidR="00E772B6" w:rsidRPr="00E772B6" w:rsidRDefault="00E772B6" w:rsidP="00E772B6">
      <w:pPr>
        <w:pStyle w:val="Odsekzoznamu"/>
        <w:jc w:val="both"/>
        <w:rPr>
          <w:rFonts w:ascii="Arial" w:hAnsi="Arial" w:cs="Arial"/>
          <w:sz w:val="22"/>
          <w:szCs w:val="22"/>
        </w:rPr>
      </w:pPr>
      <w:r w:rsidRPr="00E772B6">
        <w:rPr>
          <w:rFonts w:ascii="Arial" w:hAnsi="Arial" w:cs="Arial"/>
          <w:sz w:val="22"/>
          <w:szCs w:val="22"/>
        </w:rPr>
        <w:t>Celkové oprávnené náklady projektu: 132 637,22 EUR</w:t>
      </w:r>
    </w:p>
    <w:p w:rsidR="00E772B6" w:rsidRPr="00E772B6" w:rsidRDefault="00E772B6" w:rsidP="00E772B6">
      <w:pPr>
        <w:pStyle w:val="Odsekzoznamu"/>
        <w:jc w:val="both"/>
        <w:rPr>
          <w:rFonts w:ascii="Arial" w:hAnsi="Arial" w:cs="Arial"/>
          <w:sz w:val="22"/>
          <w:szCs w:val="22"/>
        </w:rPr>
      </w:pPr>
      <w:r w:rsidRPr="00E772B6">
        <w:rPr>
          <w:rFonts w:ascii="Arial" w:hAnsi="Arial" w:cs="Arial"/>
          <w:sz w:val="22"/>
          <w:szCs w:val="22"/>
        </w:rPr>
        <w:t>Z toho zdroj EÚ a štátneho rozpočtu: 126 005,36 EUR</w:t>
      </w:r>
    </w:p>
    <w:p w:rsidR="00E772B6" w:rsidRPr="00E772B6" w:rsidRDefault="00E772B6" w:rsidP="00E772B6">
      <w:pPr>
        <w:pStyle w:val="Odsekzoznamu"/>
        <w:jc w:val="both"/>
        <w:rPr>
          <w:rFonts w:ascii="Arial" w:hAnsi="Arial" w:cs="Arial"/>
          <w:sz w:val="22"/>
          <w:szCs w:val="22"/>
        </w:rPr>
      </w:pPr>
      <w:r w:rsidRPr="00E772B6">
        <w:rPr>
          <w:rFonts w:ascii="Arial" w:hAnsi="Arial" w:cs="Arial"/>
          <w:sz w:val="22"/>
          <w:szCs w:val="22"/>
        </w:rPr>
        <w:t>Vlastné zdroje: 6 631,86 EUR</w:t>
      </w:r>
    </w:p>
    <w:p w:rsidR="00E772B6" w:rsidRPr="00E772B6" w:rsidRDefault="00E772B6" w:rsidP="00E772B6">
      <w:pPr>
        <w:pStyle w:val="Odsekzoznamu"/>
        <w:jc w:val="both"/>
        <w:rPr>
          <w:rFonts w:ascii="Arial" w:hAnsi="Arial" w:cs="Arial"/>
          <w:sz w:val="22"/>
          <w:szCs w:val="22"/>
        </w:rPr>
      </w:pPr>
      <w:r w:rsidRPr="00E772B6">
        <w:rPr>
          <w:rFonts w:ascii="Arial" w:hAnsi="Arial" w:cs="Arial"/>
          <w:sz w:val="22"/>
          <w:szCs w:val="22"/>
        </w:rPr>
        <w:t>Doba realizácie projektu: december 2017</w:t>
      </w:r>
      <w:r w:rsidR="009B6B90">
        <w:rPr>
          <w:rFonts w:ascii="Arial" w:hAnsi="Arial" w:cs="Arial"/>
          <w:sz w:val="22"/>
          <w:szCs w:val="22"/>
        </w:rPr>
        <w:t xml:space="preserve"> </w:t>
      </w:r>
      <w:r w:rsidRPr="00E772B6">
        <w:rPr>
          <w:rFonts w:ascii="Arial" w:hAnsi="Arial" w:cs="Arial"/>
          <w:sz w:val="22"/>
          <w:szCs w:val="22"/>
        </w:rPr>
        <w:t>- november 2018</w:t>
      </w:r>
    </w:p>
    <w:p w:rsidR="005E6B6B" w:rsidRPr="00E772B6" w:rsidRDefault="005E6B6B" w:rsidP="00E772B6">
      <w:pPr>
        <w:spacing w:before="120" w:after="0" w:line="240" w:lineRule="auto"/>
        <w:jc w:val="both"/>
        <w:rPr>
          <w:rFonts w:ascii="Arial" w:hAnsi="Arial" w:cs="Arial"/>
        </w:rPr>
      </w:pPr>
      <w:r w:rsidRPr="00E772B6">
        <w:rPr>
          <w:rFonts w:ascii="Arial" w:hAnsi="Arial" w:cs="Arial"/>
        </w:rPr>
        <w:lastRenderedPageBreak/>
        <w:t xml:space="preserve">Cieľom projektu ,,Materská škola v Hronseku“ bolo zabezpečiť poskytovanie verejných služieb v obci Hronsek v oblasti </w:t>
      </w:r>
      <w:proofErr w:type="spellStart"/>
      <w:r w:rsidRPr="00E772B6">
        <w:rPr>
          <w:rFonts w:ascii="Arial" w:hAnsi="Arial" w:cs="Arial"/>
        </w:rPr>
        <w:t>predprimárneho</w:t>
      </w:r>
      <w:proofErr w:type="spellEnd"/>
      <w:r w:rsidRPr="00E772B6">
        <w:rPr>
          <w:rFonts w:ascii="Arial" w:hAnsi="Arial" w:cs="Arial"/>
        </w:rPr>
        <w:t xml:space="preserve"> vzdelávania úpravou/prestavbou príležitostne využívaných priestorov nachádzajúcich sa v rámci obecného úradu (kultúrneho domu) pre potreby zriadenia jednotriednej materskej školy s prvkami </w:t>
      </w:r>
      <w:proofErr w:type="spellStart"/>
      <w:r w:rsidRPr="00E772B6">
        <w:rPr>
          <w:rFonts w:ascii="Arial" w:hAnsi="Arial" w:cs="Arial"/>
        </w:rPr>
        <w:t>inkluzívneho</w:t>
      </w:r>
      <w:proofErr w:type="spellEnd"/>
      <w:r w:rsidRPr="00E772B6">
        <w:rPr>
          <w:rFonts w:ascii="Arial" w:hAnsi="Arial" w:cs="Arial"/>
        </w:rPr>
        <w:t xml:space="preserve"> vzdelávania.</w:t>
      </w:r>
    </w:p>
    <w:p w:rsidR="005E6B6B" w:rsidRPr="00E772B6" w:rsidRDefault="005E6B6B" w:rsidP="00E772B6">
      <w:pPr>
        <w:spacing w:before="120" w:after="0" w:line="240" w:lineRule="auto"/>
        <w:jc w:val="both"/>
        <w:rPr>
          <w:rFonts w:ascii="Arial" w:hAnsi="Arial" w:cs="Arial"/>
        </w:rPr>
      </w:pPr>
      <w:r w:rsidRPr="00E772B6">
        <w:rPr>
          <w:rFonts w:ascii="Arial" w:hAnsi="Arial" w:cs="Arial"/>
        </w:rPr>
        <w:t>V obci Hronsek sa predtým nenachádzala materská škola</w:t>
      </w:r>
      <w:r w:rsidR="00357145" w:rsidRPr="00E772B6">
        <w:rPr>
          <w:rFonts w:ascii="Arial" w:hAnsi="Arial" w:cs="Arial"/>
        </w:rPr>
        <w:t>.</w:t>
      </w:r>
      <w:r w:rsidRPr="00E772B6">
        <w:rPr>
          <w:rFonts w:ascii="Arial" w:hAnsi="Arial" w:cs="Arial"/>
        </w:rPr>
        <w:t xml:space="preserve"> Realizáciou projektu sa vytvorili nové kapacity pre umiestnenie 20 detí. V rámci projektu bol vytvorený bezbariérový prístup pre deti s obmedzenou pohyblivosťou. Vďaka výmene zdroja tepla a vykurovacieho systému sa dosiahla úspora energií oproti pôvodnému stavu. </w:t>
      </w:r>
    </w:p>
    <w:p w:rsidR="005E6B6B" w:rsidRPr="00E772B6" w:rsidRDefault="005E6B6B" w:rsidP="00E772B6">
      <w:pPr>
        <w:spacing w:after="0" w:line="240" w:lineRule="auto"/>
        <w:jc w:val="both"/>
        <w:rPr>
          <w:rFonts w:ascii="Arial" w:hAnsi="Arial" w:cs="Arial"/>
        </w:rPr>
      </w:pPr>
    </w:p>
    <w:p w:rsidR="005E6B6B" w:rsidRPr="00E772B6" w:rsidRDefault="005E6B6B" w:rsidP="00E772B6">
      <w:pPr>
        <w:spacing w:after="0" w:line="240" w:lineRule="auto"/>
        <w:jc w:val="both"/>
        <w:rPr>
          <w:rFonts w:ascii="Arial" w:eastAsia="Times New Roman" w:hAnsi="Arial" w:cs="Arial"/>
          <w:b/>
          <w:lang w:eastAsia="sk-SK"/>
        </w:rPr>
      </w:pPr>
    </w:p>
    <w:p w:rsidR="005E6B6B" w:rsidRPr="00E772B6" w:rsidRDefault="005E6B6B" w:rsidP="00E772B6">
      <w:pPr>
        <w:spacing w:after="0" w:line="240" w:lineRule="auto"/>
        <w:jc w:val="both"/>
        <w:rPr>
          <w:rFonts w:ascii="Arial" w:eastAsia="Times New Roman" w:hAnsi="Arial" w:cs="Arial"/>
          <w:b/>
          <w:lang w:eastAsia="sk-SK"/>
        </w:rPr>
      </w:pPr>
    </w:p>
    <w:p w:rsidR="005E6B6B" w:rsidRPr="00E772B6" w:rsidRDefault="005E6B6B" w:rsidP="00E772B6">
      <w:pPr>
        <w:spacing w:after="0" w:line="240" w:lineRule="auto"/>
        <w:jc w:val="both"/>
        <w:rPr>
          <w:rFonts w:ascii="Arial" w:eastAsia="Times New Roman" w:hAnsi="Arial" w:cs="Arial"/>
          <w:b/>
          <w:lang w:eastAsia="sk-SK"/>
        </w:rPr>
      </w:pPr>
    </w:p>
    <w:p w:rsidR="005E6B6B" w:rsidRPr="00E772B6" w:rsidRDefault="00180B68" w:rsidP="00E772B6">
      <w:pPr>
        <w:pStyle w:val="Odsekzoznamu"/>
        <w:numPr>
          <w:ilvl w:val="0"/>
          <w:numId w:val="8"/>
        </w:numPr>
        <w:jc w:val="both"/>
        <w:rPr>
          <w:rFonts w:ascii="Arial" w:hAnsi="Arial" w:cs="Arial"/>
          <w:b/>
        </w:rPr>
      </w:pPr>
      <w:proofErr w:type="spellStart"/>
      <w:r w:rsidRPr="00E772B6">
        <w:rPr>
          <w:rFonts w:ascii="Arial" w:hAnsi="Arial" w:cs="Arial"/>
          <w:b/>
        </w:rPr>
        <w:t>Cyklochodník</w:t>
      </w:r>
      <w:proofErr w:type="spellEnd"/>
      <w:r w:rsidRPr="00E772B6">
        <w:rPr>
          <w:rFonts w:ascii="Arial" w:hAnsi="Arial" w:cs="Arial"/>
          <w:b/>
        </w:rPr>
        <w:t xml:space="preserve"> ul. Bajkalská (Prešov – Veľký Šariš) </w:t>
      </w:r>
    </w:p>
    <w:p w:rsidR="00E772B6" w:rsidRPr="00E772B6" w:rsidRDefault="00E772B6" w:rsidP="00E772B6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9B6B90" w:rsidRPr="00E772B6" w:rsidRDefault="009B6B90" w:rsidP="009B6B90">
      <w:pPr>
        <w:spacing w:after="0" w:line="240" w:lineRule="auto"/>
        <w:ind w:left="709"/>
        <w:jc w:val="both"/>
        <w:rPr>
          <w:rFonts w:ascii="Arial" w:hAnsi="Arial" w:cs="Arial"/>
        </w:rPr>
      </w:pPr>
      <w:r w:rsidRPr="00E772B6">
        <w:rPr>
          <w:rFonts w:ascii="Arial" w:hAnsi="Arial" w:cs="Arial"/>
          <w:bCs/>
        </w:rPr>
        <w:t xml:space="preserve">Prijímateľ: </w:t>
      </w:r>
      <w:r w:rsidRPr="00E772B6">
        <w:rPr>
          <w:rFonts w:ascii="Arial" w:hAnsi="Arial" w:cs="Arial"/>
        </w:rPr>
        <w:t>Mesto Prešov</w:t>
      </w:r>
    </w:p>
    <w:p w:rsidR="009B6B90" w:rsidRPr="00E772B6" w:rsidRDefault="009B6B90" w:rsidP="009B6B90">
      <w:pPr>
        <w:spacing w:after="0" w:line="240" w:lineRule="auto"/>
        <w:ind w:left="709"/>
        <w:jc w:val="both"/>
        <w:rPr>
          <w:rFonts w:ascii="Arial" w:eastAsia="Times New Roman" w:hAnsi="Arial" w:cs="Arial"/>
          <w:lang w:eastAsia="sk-SK"/>
        </w:rPr>
      </w:pPr>
      <w:r w:rsidRPr="00E772B6">
        <w:rPr>
          <w:rFonts w:ascii="Arial" w:hAnsi="Arial" w:cs="Arial"/>
          <w:bCs/>
        </w:rPr>
        <w:t xml:space="preserve">Celkové oprávnené náklady projektu: </w:t>
      </w:r>
      <w:r w:rsidRPr="00E772B6">
        <w:rPr>
          <w:rFonts w:ascii="Arial" w:hAnsi="Arial" w:cs="Arial"/>
        </w:rPr>
        <w:t>148 358,67 EUR</w:t>
      </w:r>
    </w:p>
    <w:p w:rsidR="009B6B90" w:rsidRPr="00E772B6" w:rsidRDefault="009B6B90" w:rsidP="009B6B90">
      <w:pPr>
        <w:spacing w:after="0" w:line="240" w:lineRule="auto"/>
        <w:ind w:left="709"/>
        <w:jc w:val="both"/>
        <w:rPr>
          <w:rFonts w:ascii="Arial" w:eastAsia="Times New Roman" w:hAnsi="Arial" w:cs="Arial"/>
          <w:lang w:eastAsia="sk-SK"/>
        </w:rPr>
      </w:pPr>
      <w:r w:rsidRPr="00E772B6">
        <w:rPr>
          <w:rFonts w:ascii="Arial" w:hAnsi="Arial" w:cs="Arial"/>
          <w:bCs/>
        </w:rPr>
        <w:t xml:space="preserve">Z toho zdroj EÚ a štátneho rozpočtu: </w:t>
      </w:r>
      <w:r w:rsidRPr="00E772B6">
        <w:rPr>
          <w:rFonts w:ascii="Arial" w:hAnsi="Arial" w:cs="Arial"/>
        </w:rPr>
        <w:t>140 940,74 EUR</w:t>
      </w:r>
      <w:r w:rsidRPr="00E772B6">
        <w:rPr>
          <w:rFonts w:ascii="Arial" w:eastAsia="Times New Roman" w:hAnsi="Arial" w:cs="Arial"/>
          <w:bCs/>
          <w:lang w:eastAsia="sk-SK"/>
        </w:rPr>
        <w:t xml:space="preserve"> </w:t>
      </w:r>
    </w:p>
    <w:p w:rsidR="009B6B90" w:rsidRPr="00E772B6" w:rsidRDefault="009B6B90" w:rsidP="009B6B90">
      <w:pPr>
        <w:spacing w:after="0" w:line="240" w:lineRule="auto"/>
        <w:ind w:left="709"/>
        <w:jc w:val="both"/>
        <w:rPr>
          <w:rFonts w:ascii="Arial" w:eastAsia="Times New Roman" w:hAnsi="Arial" w:cs="Arial"/>
          <w:lang w:eastAsia="sk-SK"/>
        </w:rPr>
      </w:pPr>
      <w:r w:rsidRPr="00E772B6">
        <w:rPr>
          <w:rFonts w:ascii="Arial" w:hAnsi="Arial" w:cs="Arial"/>
          <w:bCs/>
        </w:rPr>
        <w:t>Vlastné zdroje:</w:t>
      </w:r>
      <w:r w:rsidRPr="00E772B6">
        <w:rPr>
          <w:rFonts w:ascii="Arial" w:eastAsia="Times New Roman" w:hAnsi="Arial" w:cs="Arial"/>
          <w:bCs/>
          <w:lang w:eastAsia="sk-SK"/>
        </w:rPr>
        <w:t xml:space="preserve"> </w:t>
      </w:r>
      <w:r w:rsidRPr="00E772B6">
        <w:rPr>
          <w:rFonts w:ascii="Arial" w:hAnsi="Arial" w:cs="Arial"/>
        </w:rPr>
        <w:t>7 417,93 EUR</w:t>
      </w:r>
    </w:p>
    <w:p w:rsidR="009B6B90" w:rsidRDefault="009B6B90" w:rsidP="009B6B90">
      <w:pPr>
        <w:spacing w:after="0" w:line="240" w:lineRule="auto"/>
        <w:ind w:left="709"/>
        <w:jc w:val="both"/>
        <w:rPr>
          <w:rFonts w:ascii="Arial" w:hAnsi="Arial" w:cs="Arial"/>
        </w:rPr>
      </w:pPr>
      <w:r w:rsidRPr="00E772B6">
        <w:rPr>
          <w:rFonts w:ascii="Arial" w:hAnsi="Arial" w:cs="Arial"/>
          <w:bCs/>
        </w:rPr>
        <w:t>Doba realizácie projektu:</w:t>
      </w:r>
      <w:r w:rsidRPr="00E772B6">
        <w:rPr>
          <w:rFonts w:ascii="Arial" w:eastAsia="Times New Roman" w:hAnsi="Arial" w:cs="Arial"/>
          <w:lang w:eastAsia="sk-SK"/>
        </w:rPr>
        <w:t xml:space="preserve"> </w:t>
      </w:r>
      <w:r w:rsidRPr="00E772B6">
        <w:rPr>
          <w:rFonts w:ascii="Arial" w:hAnsi="Arial" w:cs="Arial"/>
        </w:rPr>
        <w:t>marec 2017 - júl 2018</w:t>
      </w:r>
    </w:p>
    <w:p w:rsidR="009B6B90" w:rsidRPr="00E772B6" w:rsidRDefault="009B6B90" w:rsidP="009B6B90">
      <w:pPr>
        <w:spacing w:after="0" w:line="240" w:lineRule="auto"/>
        <w:jc w:val="both"/>
        <w:rPr>
          <w:rFonts w:ascii="Arial" w:hAnsi="Arial" w:cs="Arial"/>
        </w:rPr>
      </w:pPr>
    </w:p>
    <w:p w:rsidR="005E6B6B" w:rsidRPr="00E772B6" w:rsidRDefault="005E6B6B" w:rsidP="009B6B90">
      <w:pPr>
        <w:spacing w:before="120"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E772B6">
        <w:rPr>
          <w:rFonts w:ascii="Arial" w:eastAsia="Times New Roman" w:hAnsi="Arial" w:cs="Arial"/>
          <w:bCs/>
          <w:lang w:eastAsia="sk-SK"/>
        </w:rPr>
        <w:t>Cieľom projektu</w:t>
      </w:r>
      <w:r w:rsidRPr="00E772B6">
        <w:rPr>
          <w:rFonts w:ascii="Arial" w:eastAsia="Times New Roman" w:hAnsi="Arial" w:cs="Arial"/>
          <w:lang w:eastAsia="sk-SK"/>
        </w:rPr>
        <w:t xml:space="preserve"> bolo zvýšenie bezpečnosti účastníkov nemotorovej dopravy vybudovaním novej</w:t>
      </w:r>
      <w:r w:rsidR="00357145" w:rsidRPr="00E772B6">
        <w:rPr>
          <w:rFonts w:ascii="Arial" w:eastAsia="Times New Roman" w:hAnsi="Arial" w:cs="Arial"/>
          <w:lang w:eastAsia="sk-SK"/>
        </w:rPr>
        <w:t>,</w:t>
      </w:r>
      <w:r w:rsidRPr="00E772B6">
        <w:rPr>
          <w:rFonts w:ascii="Arial" w:eastAsia="Times New Roman" w:hAnsi="Arial" w:cs="Arial"/>
          <w:lang w:eastAsia="sk-SK"/>
        </w:rPr>
        <w:t xml:space="preserve"> samostatnej cyklistickej komunikácie a</w:t>
      </w:r>
      <w:r w:rsidR="00064D7C" w:rsidRPr="00E772B6">
        <w:rPr>
          <w:rFonts w:ascii="Arial" w:eastAsia="Times New Roman" w:hAnsi="Arial" w:cs="Arial"/>
          <w:lang w:eastAsia="sk-SK"/>
        </w:rPr>
        <w:t xml:space="preserve"> tým celkové </w:t>
      </w:r>
      <w:r w:rsidRPr="00E772B6">
        <w:rPr>
          <w:rFonts w:ascii="Arial" w:eastAsia="Times New Roman" w:hAnsi="Arial" w:cs="Arial"/>
          <w:lang w:eastAsia="sk-SK"/>
        </w:rPr>
        <w:t xml:space="preserve">zvýšenie atraktivity cyklistickej dopravy. </w:t>
      </w:r>
    </w:p>
    <w:p w:rsidR="00064D7C" w:rsidRPr="00E772B6" w:rsidRDefault="005E6B6B" w:rsidP="009B6B90">
      <w:pPr>
        <w:spacing w:before="120" w:after="0" w:line="240" w:lineRule="auto"/>
        <w:jc w:val="both"/>
        <w:rPr>
          <w:rFonts w:ascii="Arial" w:hAnsi="Arial" w:cs="Arial"/>
        </w:rPr>
      </w:pPr>
      <w:r w:rsidRPr="00E772B6">
        <w:rPr>
          <w:rFonts w:ascii="Arial" w:eastAsia="Times New Roman" w:hAnsi="Arial" w:cs="Arial"/>
          <w:lang w:eastAsia="sk-SK"/>
        </w:rPr>
        <w:t>V rámci projektu bola vybudovaná nová cyklistick</w:t>
      </w:r>
      <w:r w:rsidR="00064D7C" w:rsidRPr="00E772B6">
        <w:rPr>
          <w:rFonts w:ascii="Arial" w:eastAsia="Times New Roman" w:hAnsi="Arial" w:cs="Arial"/>
          <w:lang w:eastAsia="sk-SK"/>
        </w:rPr>
        <w:t>á</w:t>
      </w:r>
      <w:r w:rsidRPr="00E772B6">
        <w:rPr>
          <w:rFonts w:ascii="Arial" w:eastAsia="Times New Roman" w:hAnsi="Arial" w:cs="Arial"/>
          <w:lang w:eastAsia="sk-SK"/>
        </w:rPr>
        <w:t xml:space="preserve"> komunikáci</w:t>
      </w:r>
      <w:r w:rsidR="00064D7C" w:rsidRPr="00E772B6">
        <w:rPr>
          <w:rFonts w:ascii="Arial" w:eastAsia="Times New Roman" w:hAnsi="Arial" w:cs="Arial"/>
          <w:lang w:eastAsia="sk-SK"/>
        </w:rPr>
        <w:t>a</w:t>
      </w:r>
      <w:r w:rsidRPr="00E772B6">
        <w:rPr>
          <w:rFonts w:ascii="Arial" w:eastAsia="Times New Roman" w:hAnsi="Arial" w:cs="Arial"/>
          <w:lang w:eastAsia="sk-SK"/>
        </w:rPr>
        <w:t xml:space="preserve"> </w:t>
      </w:r>
      <w:r w:rsidR="00064D7C" w:rsidRPr="00E772B6">
        <w:rPr>
          <w:rFonts w:ascii="Arial" w:hAnsi="Arial" w:cs="Arial"/>
        </w:rPr>
        <w:t>v celkovej dĺžke 0,48375 km. C</w:t>
      </w:r>
      <w:r w:rsidR="00064D7C" w:rsidRPr="00E772B6">
        <w:rPr>
          <w:rFonts w:ascii="Arial" w:eastAsia="Times New Roman" w:hAnsi="Arial" w:cs="Arial"/>
          <w:lang w:eastAsia="sk-SK"/>
        </w:rPr>
        <w:t xml:space="preserve">yklotrasa zabezpečuje plynulé prepojenie dvoch existujúcich cyklotrás v smere zo Sídliska III. v Prešove do Veľkého Šariša a slúži </w:t>
      </w:r>
      <w:r w:rsidR="00064D7C" w:rsidRPr="00E772B6">
        <w:rPr>
          <w:rFonts w:ascii="Arial" w:hAnsi="Arial" w:cs="Arial"/>
        </w:rPr>
        <w:t>obyvateľom mesta Prešov, Veľkého Šariša a priľahlých obcí, ktorí ju využívajú ako plnohodnotný a bezpečný spôsob prepravy za prácou, za vzdelaním, či za občianskou vybavenosťou.</w:t>
      </w:r>
    </w:p>
    <w:p w:rsidR="005E6B6B" w:rsidRPr="00E772B6" w:rsidRDefault="00064D7C" w:rsidP="009B6B90">
      <w:pPr>
        <w:spacing w:before="120"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E772B6">
        <w:rPr>
          <w:rFonts w:ascii="Arial" w:hAnsi="Arial" w:cs="Arial"/>
        </w:rPr>
        <w:t xml:space="preserve">Na cyklotrase boli </w:t>
      </w:r>
      <w:r w:rsidRPr="00E772B6">
        <w:rPr>
          <w:rFonts w:ascii="Arial" w:eastAsia="Times New Roman" w:hAnsi="Arial" w:cs="Arial"/>
          <w:lang w:eastAsia="sk-SK"/>
        </w:rPr>
        <w:t>realizované prvky na upokojovanie dopravy (</w:t>
      </w:r>
      <w:r w:rsidRPr="00E772B6">
        <w:rPr>
          <w:rFonts w:ascii="Arial" w:hAnsi="Arial" w:cs="Arial"/>
        </w:rPr>
        <w:t>rampa, prechod pre chodcov a cyklistov cez komunikáciu, oddelenie cyklistickej komunikácie od chodníka pre peších)</w:t>
      </w:r>
      <w:r w:rsidRPr="00E772B6">
        <w:rPr>
          <w:rFonts w:ascii="Arial" w:eastAsia="Times New Roman" w:hAnsi="Arial" w:cs="Arial"/>
          <w:lang w:eastAsia="sk-SK"/>
        </w:rPr>
        <w:t>. O</w:t>
      </w:r>
      <w:r w:rsidRPr="00E772B6">
        <w:rPr>
          <w:rFonts w:ascii="Arial" w:hAnsi="Arial" w:cs="Arial"/>
        </w:rPr>
        <w:t xml:space="preserve">dstránené boli existujúce kolízne body (automobilová doprava/cyklista/chodec), čím sa prispelo k zvýšeniu bezpečnosti na cestách. </w:t>
      </w:r>
      <w:r w:rsidRPr="00E772B6">
        <w:rPr>
          <w:rFonts w:ascii="Arial" w:eastAsia="Times New Roman" w:hAnsi="Arial" w:cs="Arial"/>
          <w:lang w:eastAsia="sk-SK"/>
        </w:rPr>
        <w:t>R</w:t>
      </w:r>
      <w:r w:rsidR="005E6B6B" w:rsidRPr="00E772B6">
        <w:rPr>
          <w:rFonts w:ascii="Arial" w:eastAsia="Times New Roman" w:hAnsi="Arial" w:cs="Arial"/>
          <w:lang w:eastAsia="sk-SK"/>
        </w:rPr>
        <w:t>ealiz</w:t>
      </w:r>
      <w:r w:rsidRPr="00E772B6">
        <w:rPr>
          <w:rFonts w:ascii="Arial" w:eastAsia="Times New Roman" w:hAnsi="Arial" w:cs="Arial"/>
          <w:lang w:eastAsia="sk-SK"/>
        </w:rPr>
        <w:t>ované boli</w:t>
      </w:r>
      <w:r w:rsidR="005E6B6B" w:rsidRPr="00E772B6">
        <w:rPr>
          <w:rFonts w:ascii="Arial" w:eastAsia="Times New Roman" w:hAnsi="Arial" w:cs="Arial"/>
          <w:lang w:eastAsia="sk-SK"/>
        </w:rPr>
        <w:t xml:space="preserve"> </w:t>
      </w:r>
      <w:r w:rsidRPr="00E772B6">
        <w:rPr>
          <w:rFonts w:ascii="Arial" w:eastAsia="Times New Roman" w:hAnsi="Arial" w:cs="Arial"/>
          <w:lang w:eastAsia="sk-SK"/>
        </w:rPr>
        <w:t xml:space="preserve">tiež </w:t>
      </w:r>
      <w:r w:rsidR="005E6B6B" w:rsidRPr="00E772B6">
        <w:rPr>
          <w:rFonts w:ascii="Arial" w:eastAsia="Times New Roman" w:hAnsi="Arial" w:cs="Arial"/>
          <w:lang w:eastAsia="sk-SK"/>
        </w:rPr>
        <w:t>aktiv</w:t>
      </w:r>
      <w:r w:rsidRPr="00E772B6">
        <w:rPr>
          <w:rFonts w:ascii="Arial" w:eastAsia="Times New Roman" w:hAnsi="Arial" w:cs="Arial"/>
          <w:lang w:eastAsia="sk-SK"/>
        </w:rPr>
        <w:t>ity</w:t>
      </w:r>
      <w:r w:rsidR="005E6B6B" w:rsidRPr="00E772B6">
        <w:rPr>
          <w:rFonts w:ascii="Arial" w:eastAsia="Times New Roman" w:hAnsi="Arial" w:cs="Arial"/>
          <w:lang w:eastAsia="sk-SK"/>
        </w:rPr>
        <w:t xml:space="preserve"> zamera</w:t>
      </w:r>
      <w:r w:rsidRPr="00E772B6">
        <w:rPr>
          <w:rFonts w:ascii="Arial" w:eastAsia="Times New Roman" w:hAnsi="Arial" w:cs="Arial"/>
          <w:lang w:eastAsia="sk-SK"/>
        </w:rPr>
        <w:t>né</w:t>
      </w:r>
      <w:r w:rsidR="005E6B6B" w:rsidRPr="00E772B6">
        <w:rPr>
          <w:rFonts w:ascii="Arial" w:eastAsia="Times New Roman" w:hAnsi="Arial" w:cs="Arial"/>
          <w:lang w:eastAsia="sk-SK"/>
        </w:rPr>
        <w:t xml:space="preserve"> na propagáciu cyklistickej dopravy ako plnohodnotného spôsobu prepravy v rámci mesta Prešov a v prímestských oblastiach. </w:t>
      </w:r>
    </w:p>
    <w:p w:rsidR="005E6B6B" w:rsidRPr="00E772B6" w:rsidRDefault="005E6B6B" w:rsidP="00E772B6">
      <w:pPr>
        <w:pStyle w:val="Odsekzoznamu"/>
        <w:jc w:val="both"/>
        <w:rPr>
          <w:rFonts w:ascii="Arial" w:hAnsi="Arial" w:cs="Arial"/>
          <w:sz w:val="22"/>
          <w:szCs w:val="22"/>
        </w:rPr>
      </w:pPr>
    </w:p>
    <w:p w:rsidR="005E6B6B" w:rsidRPr="00E772B6" w:rsidRDefault="005E6B6B" w:rsidP="00E772B6">
      <w:pPr>
        <w:spacing w:after="0" w:line="240" w:lineRule="auto"/>
        <w:jc w:val="both"/>
        <w:rPr>
          <w:rFonts w:ascii="Arial" w:eastAsia="Times New Roman" w:hAnsi="Arial" w:cs="Arial"/>
          <w:b/>
          <w:lang w:eastAsia="sk-SK"/>
        </w:rPr>
      </w:pPr>
    </w:p>
    <w:p w:rsidR="005E6B6B" w:rsidRPr="00E772B6" w:rsidRDefault="005E6B6B" w:rsidP="00E772B6">
      <w:pPr>
        <w:spacing w:after="0" w:line="240" w:lineRule="auto"/>
        <w:jc w:val="both"/>
        <w:rPr>
          <w:rFonts w:ascii="Arial" w:eastAsia="Times New Roman" w:hAnsi="Arial" w:cs="Arial"/>
          <w:b/>
          <w:lang w:eastAsia="sk-SK"/>
        </w:rPr>
      </w:pPr>
    </w:p>
    <w:p w:rsidR="005E6B6B" w:rsidRPr="00E772B6" w:rsidRDefault="005E6B6B" w:rsidP="00E772B6">
      <w:pPr>
        <w:spacing w:after="0" w:line="240" w:lineRule="auto"/>
        <w:jc w:val="both"/>
        <w:rPr>
          <w:rFonts w:ascii="Arial" w:eastAsia="Times New Roman" w:hAnsi="Arial" w:cs="Arial"/>
          <w:b/>
          <w:lang w:eastAsia="sk-SK"/>
        </w:rPr>
      </w:pPr>
    </w:p>
    <w:p w:rsidR="005E6B6B" w:rsidRPr="00E772B6" w:rsidRDefault="005E6B6B" w:rsidP="00E772B6">
      <w:pPr>
        <w:spacing w:after="0" w:line="240" w:lineRule="auto"/>
        <w:jc w:val="both"/>
        <w:rPr>
          <w:rFonts w:ascii="Arial" w:eastAsia="Times New Roman" w:hAnsi="Arial" w:cs="Arial"/>
          <w:b/>
          <w:lang w:eastAsia="sk-SK"/>
        </w:rPr>
      </w:pPr>
    </w:p>
    <w:p w:rsidR="005E6B6B" w:rsidRPr="00E772B6" w:rsidRDefault="005E6B6B" w:rsidP="00E772B6">
      <w:pPr>
        <w:spacing w:after="0" w:line="240" w:lineRule="auto"/>
        <w:jc w:val="both"/>
        <w:rPr>
          <w:rFonts w:ascii="Arial" w:eastAsia="Times New Roman" w:hAnsi="Arial" w:cs="Arial"/>
          <w:b/>
          <w:lang w:eastAsia="sk-SK"/>
        </w:rPr>
      </w:pPr>
    </w:p>
    <w:p w:rsidR="005E6B6B" w:rsidRPr="00E772B6" w:rsidRDefault="005E6B6B" w:rsidP="00E772B6">
      <w:pPr>
        <w:spacing w:after="0" w:line="240" w:lineRule="auto"/>
        <w:jc w:val="both"/>
        <w:rPr>
          <w:rFonts w:ascii="Arial" w:eastAsia="Times New Roman" w:hAnsi="Arial" w:cs="Arial"/>
          <w:b/>
          <w:lang w:eastAsia="sk-SK"/>
        </w:rPr>
      </w:pPr>
    </w:p>
    <w:p w:rsidR="00064D7C" w:rsidRDefault="00064D7C" w:rsidP="00E772B6">
      <w:pPr>
        <w:pStyle w:val="Odsekzoznamu"/>
        <w:numPr>
          <w:ilvl w:val="0"/>
          <w:numId w:val="8"/>
        </w:numPr>
        <w:jc w:val="both"/>
        <w:rPr>
          <w:rFonts w:ascii="Arial" w:hAnsi="Arial" w:cs="Arial"/>
          <w:b/>
          <w:bCs/>
        </w:rPr>
      </w:pPr>
      <w:r w:rsidRPr="00E772B6">
        <w:rPr>
          <w:rFonts w:ascii="Arial" w:hAnsi="Arial" w:cs="Arial"/>
          <w:b/>
          <w:bCs/>
        </w:rPr>
        <w:t>Modernizácia vozidlového parku nákupom autobusov MHD v</w:t>
      </w:r>
      <w:r w:rsidR="00E772B6">
        <w:rPr>
          <w:rFonts w:ascii="Arial" w:hAnsi="Arial" w:cs="Arial"/>
          <w:b/>
          <w:bCs/>
        </w:rPr>
        <w:t> </w:t>
      </w:r>
      <w:r w:rsidRPr="00E772B6">
        <w:rPr>
          <w:rFonts w:ascii="Arial" w:hAnsi="Arial" w:cs="Arial"/>
          <w:b/>
          <w:bCs/>
        </w:rPr>
        <w:t>Žiline</w:t>
      </w:r>
    </w:p>
    <w:p w:rsidR="00E772B6" w:rsidRPr="00E772B6" w:rsidRDefault="00E772B6" w:rsidP="00E772B6">
      <w:pPr>
        <w:pStyle w:val="Odsekzoznamu"/>
        <w:jc w:val="both"/>
        <w:rPr>
          <w:rFonts w:ascii="Arial" w:hAnsi="Arial" w:cs="Arial"/>
          <w:b/>
          <w:bCs/>
        </w:rPr>
      </w:pPr>
    </w:p>
    <w:p w:rsidR="009B6B90" w:rsidRPr="00E772B6" w:rsidRDefault="009B6B90" w:rsidP="009B6B90">
      <w:pPr>
        <w:spacing w:after="0" w:line="240" w:lineRule="auto"/>
        <w:ind w:left="709"/>
        <w:jc w:val="both"/>
        <w:rPr>
          <w:rFonts w:ascii="Arial" w:hAnsi="Arial" w:cs="Arial"/>
        </w:rPr>
      </w:pPr>
      <w:r w:rsidRPr="00E772B6">
        <w:rPr>
          <w:rFonts w:ascii="Arial" w:hAnsi="Arial" w:cs="Arial"/>
          <w:bCs/>
        </w:rPr>
        <w:t xml:space="preserve">Prijímateľ: </w:t>
      </w:r>
      <w:r w:rsidRPr="00E772B6">
        <w:rPr>
          <w:rFonts w:ascii="Arial" w:hAnsi="Arial" w:cs="Arial"/>
        </w:rPr>
        <w:t>mesto Žilina</w:t>
      </w:r>
    </w:p>
    <w:p w:rsidR="009B6B90" w:rsidRPr="00E772B6" w:rsidRDefault="009B6B90" w:rsidP="009B6B90">
      <w:pPr>
        <w:spacing w:after="0" w:line="240" w:lineRule="auto"/>
        <w:ind w:left="709"/>
        <w:jc w:val="both"/>
        <w:rPr>
          <w:rFonts w:ascii="Arial" w:eastAsia="Times New Roman" w:hAnsi="Arial" w:cs="Arial"/>
          <w:lang w:eastAsia="sk-SK"/>
        </w:rPr>
      </w:pPr>
      <w:r w:rsidRPr="00E772B6">
        <w:rPr>
          <w:rFonts w:ascii="Arial" w:hAnsi="Arial" w:cs="Arial"/>
          <w:bCs/>
        </w:rPr>
        <w:t xml:space="preserve">Celkové oprávnené náklady projektu: </w:t>
      </w:r>
      <w:r w:rsidRPr="00E772B6">
        <w:rPr>
          <w:rFonts w:ascii="Arial" w:hAnsi="Arial" w:cs="Arial"/>
        </w:rPr>
        <w:t>11 261 308,36 EUR</w:t>
      </w:r>
    </w:p>
    <w:p w:rsidR="009B6B90" w:rsidRPr="00E772B6" w:rsidRDefault="009B6B90" w:rsidP="009B6B90">
      <w:pPr>
        <w:spacing w:after="0" w:line="240" w:lineRule="auto"/>
        <w:ind w:left="709"/>
        <w:jc w:val="both"/>
        <w:rPr>
          <w:rFonts w:ascii="Arial" w:eastAsia="Times New Roman" w:hAnsi="Arial" w:cs="Arial"/>
          <w:lang w:eastAsia="sk-SK"/>
        </w:rPr>
      </w:pPr>
      <w:r w:rsidRPr="00E772B6">
        <w:rPr>
          <w:rFonts w:ascii="Arial" w:hAnsi="Arial" w:cs="Arial"/>
          <w:bCs/>
        </w:rPr>
        <w:t xml:space="preserve">Z toho zdroj EÚ a štátneho rozpočtu: </w:t>
      </w:r>
      <w:r w:rsidRPr="00E772B6">
        <w:rPr>
          <w:rFonts w:ascii="Arial" w:hAnsi="Arial" w:cs="Arial"/>
        </w:rPr>
        <w:t>10 698 242,96 EUR</w:t>
      </w:r>
      <w:r w:rsidRPr="00E772B6">
        <w:rPr>
          <w:rFonts w:ascii="Arial" w:eastAsia="Times New Roman" w:hAnsi="Arial" w:cs="Arial"/>
          <w:bCs/>
          <w:lang w:eastAsia="sk-SK"/>
        </w:rPr>
        <w:t xml:space="preserve">  </w:t>
      </w:r>
    </w:p>
    <w:p w:rsidR="009B6B90" w:rsidRPr="00E772B6" w:rsidRDefault="009B6B90" w:rsidP="009B6B90">
      <w:pPr>
        <w:spacing w:after="0" w:line="240" w:lineRule="auto"/>
        <w:ind w:left="709"/>
        <w:jc w:val="both"/>
        <w:rPr>
          <w:rFonts w:ascii="Arial" w:eastAsia="Times New Roman" w:hAnsi="Arial" w:cs="Arial"/>
          <w:lang w:eastAsia="sk-SK"/>
        </w:rPr>
      </w:pPr>
      <w:r w:rsidRPr="00E772B6">
        <w:rPr>
          <w:rFonts w:ascii="Arial" w:hAnsi="Arial" w:cs="Arial"/>
          <w:bCs/>
        </w:rPr>
        <w:t xml:space="preserve">Vlastné zdroje: </w:t>
      </w:r>
      <w:r w:rsidRPr="00E772B6">
        <w:rPr>
          <w:rFonts w:ascii="Arial" w:hAnsi="Arial" w:cs="Arial"/>
        </w:rPr>
        <w:t>563 065,42 EUR</w:t>
      </w:r>
      <w:r w:rsidRPr="00E772B6">
        <w:rPr>
          <w:rFonts w:ascii="Arial" w:eastAsia="Times New Roman" w:hAnsi="Arial" w:cs="Arial"/>
          <w:bCs/>
          <w:lang w:eastAsia="sk-SK"/>
        </w:rPr>
        <w:t xml:space="preserve">  </w:t>
      </w:r>
    </w:p>
    <w:p w:rsidR="009B6B90" w:rsidRPr="00E772B6" w:rsidRDefault="009B6B90" w:rsidP="009B6B90">
      <w:pPr>
        <w:spacing w:after="0" w:line="240" w:lineRule="auto"/>
        <w:ind w:left="709"/>
        <w:jc w:val="both"/>
        <w:rPr>
          <w:rFonts w:ascii="Arial" w:hAnsi="Arial" w:cs="Arial"/>
        </w:rPr>
      </w:pPr>
      <w:r w:rsidRPr="00E772B6">
        <w:rPr>
          <w:rFonts w:ascii="Arial" w:hAnsi="Arial" w:cs="Arial"/>
          <w:bCs/>
        </w:rPr>
        <w:t>Doba realizácie projektu:</w:t>
      </w:r>
      <w:r w:rsidRPr="00E772B6">
        <w:rPr>
          <w:rFonts w:ascii="Arial" w:eastAsia="Times New Roman" w:hAnsi="Arial" w:cs="Arial"/>
          <w:lang w:eastAsia="sk-SK"/>
        </w:rPr>
        <w:t xml:space="preserve"> </w:t>
      </w:r>
      <w:r w:rsidRPr="00E772B6">
        <w:rPr>
          <w:rFonts w:ascii="Arial" w:hAnsi="Arial" w:cs="Arial"/>
        </w:rPr>
        <w:t>október 2017 - marec 2019</w:t>
      </w:r>
    </w:p>
    <w:p w:rsidR="009B6B90" w:rsidRDefault="009B6B90" w:rsidP="00E772B6">
      <w:pPr>
        <w:tabs>
          <w:tab w:val="left" w:pos="6136"/>
        </w:tabs>
        <w:spacing w:after="0" w:line="240" w:lineRule="auto"/>
        <w:jc w:val="both"/>
        <w:rPr>
          <w:rFonts w:ascii="Arial" w:eastAsia="Times New Roman" w:hAnsi="Arial" w:cs="Arial"/>
          <w:bCs/>
          <w:lang w:eastAsia="sk-SK"/>
        </w:rPr>
      </w:pPr>
    </w:p>
    <w:p w:rsidR="0000050F" w:rsidRPr="00E772B6" w:rsidRDefault="0000050F" w:rsidP="009B6B90">
      <w:pPr>
        <w:tabs>
          <w:tab w:val="left" w:pos="6136"/>
        </w:tabs>
        <w:spacing w:before="120"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E772B6">
        <w:rPr>
          <w:rFonts w:ascii="Arial" w:eastAsia="Times New Roman" w:hAnsi="Arial" w:cs="Arial"/>
          <w:bCs/>
          <w:lang w:eastAsia="sk-SK"/>
        </w:rPr>
        <w:t xml:space="preserve">Hlavnou aktivitou projektu bol </w:t>
      </w:r>
      <w:r w:rsidRPr="00E772B6">
        <w:rPr>
          <w:rFonts w:ascii="Arial" w:eastAsia="Times New Roman" w:hAnsi="Arial" w:cs="Arial"/>
          <w:lang w:eastAsia="sk-SK"/>
        </w:rPr>
        <w:t xml:space="preserve">nákup 32 ks nových </w:t>
      </w:r>
      <w:proofErr w:type="spellStart"/>
      <w:r w:rsidRPr="00E772B6">
        <w:rPr>
          <w:rFonts w:ascii="Arial" w:eastAsia="Times New Roman" w:hAnsi="Arial" w:cs="Arial"/>
          <w:lang w:eastAsia="sk-SK"/>
        </w:rPr>
        <w:t>nízkopodlažných</w:t>
      </w:r>
      <w:proofErr w:type="spellEnd"/>
      <w:r w:rsidRPr="00E772B6">
        <w:rPr>
          <w:rFonts w:ascii="Arial" w:eastAsia="Times New Roman" w:hAnsi="Arial" w:cs="Arial"/>
          <w:lang w:eastAsia="sk-SK"/>
        </w:rPr>
        <w:t xml:space="preserve"> ekologických autobusov MHD</w:t>
      </w:r>
      <w:r w:rsidR="00357145" w:rsidRPr="00E772B6">
        <w:rPr>
          <w:rFonts w:ascii="Arial" w:eastAsia="Times New Roman" w:hAnsi="Arial" w:cs="Arial"/>
          <w:lang w:eastAsia="sk-SK"/>
        </w:rPr>
        <w:t xml:space="preserve"> (</w:t>
      </w:r>
      <w:r w:rsidRPr="00E772B6">
        <w:rPr>
          <w:rFonts w:ascii="Arial" w:eastAsia="Times New Roman" w:hAnsi="Arial" w:cs="Arial"/>
          <w:iCs/>
          <w:lang w:eastAsia="sk-SK"/>
        </w:rPr>
        <w:t>14ks autobusov s dieselov</w:t>
      </w:r>
      <w:r w:rsidR="00357145" w:rsidRPr="00E772B6">
        <w:rPr>
          <w:rFonts w:ascii="Arial" w:eastAsia="Times New Roman" w:hAnsi="Arial" w:cs="Arial"/>
          <w:iCs/>
          <w:lang w:eastAsia="sk-SK"/>
        </w:rPr>
        <w:t>ý</w:t>
      </w:r>
      <w:r w:rsidRPr="00E772B6">
        <w:rPr>
          <w:rFonts w:ascii="Arial" w:eastAsia="Times New Roman" w:hAnsi="Arial" w:cs="Arial"/>
          <w:iCs/>
          <w:lang w:eastAsia="sk-SK"/>
        </w:rPr>
        <w:t>m pohonom</w:t>
      </w:r>
      <w:r w:rsidR="00357145" w:rsidRPr="00E772B6">
        <w:rPr>
          <w:rFonts w:ascii="Arial" w:eastAsia="Times New Roman" w:hAnsi="Arial" w:cs="Arial"/>
          <w:iCs/>
          <w:lang w:eastAsia="sk-SK"/>
        </w:rPr>
        <w:t xml:space="preserve">, </w:t>
      </w:r>
      <w:r w:rsidRPr="00E772B6">
        <w:rPr>
          <w:rFonts w:ascii="Arial" w:eastAsia="Times New Roman" w:hAnsi="Arial" w:cs="Arial"/>
          <w:iCs/>
          <w:lang w:eastAsia="sk-SK"/>
        </w:rPr>
        <w:t xml:space="preserve">2 ks </w:t>
      </w:r>
      <w:proofErr w:type="spellStart"/>
      <w:r w:rsidRPr="00E772B6">
        <w:rPr>
          <w:rFonts w:ascii="Arial" w:eastAsia="Times New Roman" w:hAnsi="Arial" w:cs="Arial"/>
          <w:iCs/>
          <w:lang w:eastAsia="sk-SK"/>
        </w:rPr>
        <w:t>elektrobusov</w:t>
      </w:r>
      <w:proofErr w:type="spellEnd"/>
      <w:r w:rsidR="00357145" w:rsidRPr="00E772B6">
        <w:rPr>
          <w:rFonts w:ascii="Arial" w:eastAsia="Times New Roman" w:hAnsi="Arial" w:cs="Arial"/>
          <w:iCs/>
          <w:lang w:eastAsia="sk-SK"/>
        </w:rPr>
        <w:t xml:space="preserve">, </w:t>
      </w:r>
      <w:r w:rsidRPr="00E772B6">
        <w:rPr>
          <w:rFonts w:ascii="Arial" w:eastAsia="Times New Roman" w:hAnsi="Arial" w:cs="Arial"/>
          <w:iCs/>
          <w:lang w:eastAsia="sk-SK"/>
        </w:rPr>
        <w:t>16 ks autobusov s hybridným pohonom</w:t>
      </w:r>
      <w:r w:rsidR="00357145" w:rsidRPr="00E772B6">
        <w:rPr>
          <w:rFonts w:ascii="Arial" w:eastAsia="Times New Roman" w:hAnsi="Arial" w:cs="Arial"/>
          <w:iCs/>
          <w:lang w:eastAsia="sk-SK"/>
        </w:rPr>
        <w:t>)</w:t>
      </w:r>
      <w:r w:rsidRPr="00E772B6">
        <w:rPr>
          <w:rFonts w:ascii="Arial" w:eastAsia="Times New Roman" w:hAnsi="Arial" w:cs="Arial"/>
          <w:iCs/>
          <w:lang w:eastAsia="sk-SK"/>
        </w:rPr>
        <w:t xml:space="preserve"> </w:t>
      </w:r>
    </w:p>
    <w:p w:rsidR="00064D7C" w:rsidRPr="00E772B6" w:rsidRDefault="0000050F" w:rsidP="009B6B90">
      <w:pPr>
        <w:spacing w:before="120" w:after="0" w:line="240" w:lineRule="auto"/>
        <w:jc w:val="both"/>
        <w:rPr>
          <w:rFonts w:ascii="Arial" w:hAnsi="Arial" w:cs="Arial"/>
          <w:bCs/>
        </w:rPr>
      </w:pPr>
      <w:r w:rsidRPr="00E772B6">
        <w:rPr>
          <w:rFonts w:ascii="Arial" w:hAnsi="Arial" w:cs="Arial"/>
          <w:bCs/>
        </w:rPr>
        <w:lastRenderedPageBreak/>
        <w:t>R</w:t>
      </w:r>
      <w:r w:rsidR="00064D7C" w:rsidRPr="00E772B6">
        <w:rPr>
          <w:rFonts w:ascii="Arial" w:hAnsi="Arial" w:cs="Arial"/>
          <w:bCs/>
        </w:rPr>
        <w:t xml:space="preserve">ealizáciou </w:t>
      </w:r>
      <w:r w:rsidRPr="00E772B6">
        <w:rPr>
          <w:rFonts w:ascii="Arial" w:hAnsi="Arial" w:cs="Arial"/>
          <w:bCs/>
        </w:rPr>
        <w:t xml:space="preserve">projektu </w:t>
      </w:r>
      <w:r w:rsidR="00064D7C" w:rsidRPr="00E772B6">
        <w:rPr>
          <w:rFonts w:ascii="Arial" w:hAnsi="Arial" w:cs="Arial"/>
          <w:bCs/>
        </w:rPr>
        <w:t>sa očakáva  zastavenie  úbytku počtu prepravených cestujúcich, výrazné zlepšenie služieb</w:t>
      </w:r>
      <w:r w:rsidRPr="00E772B6">
        <w:rPr>
          <w:rFonts w:ascii="Arial" w:hAnsi="Arial" w:cs="Arial"/>
          <w:bCs/>
        </w:rPr>
        <w:t xml:space="preserve"> a</w:t>
      </w:r>
      <w:r w:rsidRPr="00E772B6">
        <w:rPr>
          <w:rFonts w:ascii="Arial" w:hAnsi="Arial" w:cs="Arial"/>
        </w:rPr>
        <w:t xml:space="preserve"> komfortu cestovania</w:t>
      </w:r>
      <w:r w:rsidR="00064D7C" w:rsidRPr="00E772B6">
        <w:rPr>
          <w:rFonts w:ascii="Arial" w:hAnsi="Arial" w:cs="Arial"/>
          <w:bCs/>
        </w:rPr>
        <w:t xml:space="preserve">, kvality a zvýšenie atraktivity MHD, zvýšenie bezpečnosti a spoľahlivosti pri preprave cestujúcich, zníženie emisií, hluku a prevádzkových nákladov.  </w:t>
      </w:r>
      <w:r w:rsidRPr="00E772B6">
        <w:rPr>
          <w:rFonts w:ascii="Arial" w:hAnsi="Arial" w:cs="Arial"/>
          <w:bCs/>
        </w:rPr>
        <w:t>M</w:t>
      </w:r>
      <w:r w:rsidR="00064D7C" w:rsidRPr="00E772B6">
        <w:rPr>
          <w:rFonts w:ascii="Arial" w:hAnsi="Arial" w:cs="Arial"/>
          <w:bCs/>
        </w:rPr>
        <w:t xml:space="preserve">oderné prvky IKT </w:t>
      </w:r>
      <w:r w:rsidRPr="00E772B6">
        <w:rPr>
          <w:rFonts w:ascii="Arial" w:hAnsi="Arial" w:cs="Arial"/>
          <w:bCs/>
        </w:rPr>
        <w:t>(</w:t>
      </w:r>
      <w:r w:rsidR="00064D7C" w:rsidRPr="00E772B6">
        <w:rPr>
          <w:rFonts w:ascii="Arial" w:hAnsi="Arial" w:cs="Arial"/>
          <w:bCs/>
        </w:rPr>
        <w:t>vozidlový informačný a komunikačný systém a systém pre tarifné vybavenie cestujúcich</w:t>
      </w:r>
      <w:r w:rsidRPr="00E772B6">
        <w:rPr>
          <w:rFonts w:ascii="Arial" w:hAnsi="Arial" w:cs="Arial"/>
          <w:bCs/>
        </w:rPr>
        <w:t>)</w:t>
      </w:r>
      <w:r w:rsidR="00064D7C" w:rsidRPr="00E772B6">
        <w:rPr>
          <w:rFonts w:ascii="Arial" w:hAnsi="Arial" w:cs="Arial"/>
          <w:bCs/>
        </w:rPr>
        <w:t xml:space="preserve"> </w:t>
      </w:r>
      <w:r w:rsidRPr="00E772B6">
        <w:rPr>
          <w:rFonts w:ascii="Arial" w:hAnsi="Arial" w:cs="Arial"/>
          <w:bCs/>
        </w:rPr>
        <w:t xml:space="preserve">zároveň </w:t>
      </w:r>
      <w:r w:rsidR="00064D7C" w:rsidRPr="00E772B6">
        <w:rPr>
          <w:rFonts w:ascii="Arial" w:hAnsi="Arial" w:cs="Arial"/>
          <w:bCs/>
        </w:rPr>
        <w:t>zlepš</w:t>
      </w:r>
      <w:r w:rsidRPr="00E772B6">
        <w:rPr>
          <w:rFonts w:ascii="Arial" w:hAnsi="Arial" w:cs="Arial"/>
          <w:bCs/>
        </w:rPr>
        <w:t>ia</w:t>
      </w:r>
      <w:r w:rsidR="00064D7C" w:rsidRPr="00E772B6">
        <w:rPr>
          <w:rFonts w:ascii="Arial" w:hAnsi="Arial" w:cs="Arial"/>
          <w:bCs/>
        </w:rPr>
        <w:t xml:space="preserve"> informovanos</w:t>
      </w:r>
      <w:r w:rsidRPr="00E772B6">
        <w:rPr>
          <w:rFonts w:ascii="Arial" w:hAnsi="Arial" w:cs="Arial"/>
          <w:bCs/>
        </w:rPr>
        <w:t>ť</w:t>
      </w:r>
      <w:r w:rsidR="00064D7C" w:rsidRPr="00E772B6">
        <w:rPr>
          <w:rFonts w:ascii="Arial" w:hAnsi="Arial" w:cs="Arial"/>
          <w:bCs/>
        </w:rPr>
        <w:t xml:space="preserve"> cestujúcich a dopravcu s dopadom na skrátenie prepravných  časov, </w:t>
      </w:r>
    </w:p>
    <w:p w:rsidR="00064D7C" w:rsidRPr="00E772B6" w:rsidRDefault="00064D7C" w:rsidP="00E772B6">
      <w:pPr>
        <w:pStyle w:val="Odsekzoznamu"/>
        <w:jc w:val="both"/>
        <w:rPr>
          <w:rFonts w:ascii="Arial" w:hAnsi="Arial" w:cs="Arial"/>
          <w:sz w:val="22"/>
          <w:szCs w:val="22"/>
        </w:rPr>
      </w:pPr>
    </w:p>
    <w:p w:rsidR="00064D7C" w:rsidRPr="00E772B6" w:rsidRDefault="00064D7C" w:rsidP="00E772B6">
      <w:pPr>
        <w:spacing w:after="0" w:line="240" w:lineRule="auto"/>
        <w:jc w:val="both"/>
        <w:rPr>
          <w:rFonts w:ascii="Arial" w:eastAsia="Times New Roman" w:hAnsi="Arial" w:cs="Arial"/>
          <w:b/>
          <w:lang w:eastAsia="sk-SK"/>
        </w:rPr>
      </w:pPr>
    </w:p>
    <w:p w:rsidR="00064D7C" w:rsidRPr="00E772B6" w:rsidRDefault="00064D7C" w:rsidP="00E772B6">
      <w:pPr>
        <w:spacing w:after="0" w:line="240" w:lineRule="auto"/>
        <w:jc w:val="both"/>
        <w:rPr>
          <w:rFonts w:ascii="Arial" w:eastAsia="Times New Roman" w:hAnsi="Arial" w:cs="Arial"/>
          <w:b/>
          <w:lang w:eastAsia="sk-SK"/>
        </w:rPr>
      </w:pPr>
    </w:p>
    <w:p w:rsidR="00064D7C" w:rsidRPr="00E772B6" w:rsidRDefault="00064D7C" w:rsidP="00E772B6">
      <w:pPr>
        <w:spacing w:after="0" w:line="240" w:lineRule="auto"/>
        <w:jc w:val="both"/>
        <w:rPr>
          <w:rFonts w:ascii="Arial" w:eastAsia="Times New Roman" w:hAnsi="Arial" w:cs="Arial"/>
          <w:b/>
          <w:lang w:eastAsia="sk-SK"/>
        </w:rPr>
      </w:pPr>
    </w:p>
    <w:p w:rsidR="005E6B6B" w:rsidRPr="00E772B6" w:rsidRDefault="005E6B6B" w:rsidP="00E772B6">
      <w:pPr>
        <w:spacing w:after="0" w:line="240" w:lineRule="auto"/>
        <w:jc w:val="both"/>
        <w:rPr>
          <w:rFonts w:ascii="Arial" w:hAnsi="Arial" w:cs="Arial"/>
        </w:rPr>
      </w:pPr>
    </w:p>
    <w:sectPr w:rsidR="005E6B6B" w:rsidRPr="00E772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223DF"/>
    <w:multiLevelType w:val="hybridMultilevel"/>
    <w:tmpl w:val="525E68A0"/>
    <w:lvl w:ilvl="0" w:tplc="A97C67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F34E3"/>
    <w:multiLevelType w:val="multilevel"/>
    <w:tmpl w:val="B78AC61E"/>
    <w:lvl w:ilvl="0">
      <w:start w:val="1"/>
      <w:numFmt w:val="upperRoman"/>
      <w:lvlText w:val="%1."/>
      <w:lvlJc w:val="left"/>
      <w:pPr>
        <w:ind w:left="0" w:firstLine="0"/>
      </w:pPr>
      <w:rPr>
        <w:rFonts w:ascii="Calibri" w:hAnsi="Calibri" w:hint="default"/>
        <w:sz w:val="24"/>
      </w:rPr>
    </w:lvl>
    <w:lvl w:ilvl="1">
      <w:start w:val="1"/>
      <w:numFmt w:val="decimal"/>
      <w:lvlText w:val="%2."/>
      <w:lvlJc w:val="left"/>
      <w:pPr>
        <w:ind w:left="720" w:firstLine="0"/>
      </w:pPr>
      <w:rPr>
        <w:rFonts w:ascii="Calibri" w:hAnsi="Calibri" w:hint="default"/>
        <w:sz w:val="24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2" w15:restartNumberingAfterBreak="0">
    <w:nsid w:val="173B76B0"/>
    <w:multiLevelType w:val="hybridMultilevel"/>
    <w:tmpl w:val="3F6EE25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6E49F9"/>
    <w:multiLevelType w:val="hybridMultilevel"/>
    <w:tmpl w:val="A82E989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0A16A9"/>
    <w:multiLevelType w:val="hybridMultilevel"/>
    <w:tmpl w:val="98904D02"/>
    <w:lvl w:ilvl="0" w:tplc="A9C465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34765C"/>
    <w:multiLevelType w:val="multilevel"/>
    <w:tmpl w:val="0E924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="Calibr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4327F46"/>
    <w:multiLevelType w:val="hybridMultilevel"/>
    <w:tmpl w:val="E41EFE2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FE06DF"/>
    <w:multiLevelType w:val="hybridMultilevel"/>
    <w:tmpl w:val="A14EDE2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7"/>
  </w:num>
  <w:num w:numId="5">
    <w:abstractNumId w:val="6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F98"/>
    <w:rsid w:val="0000050F"/>
    <w:rsid w:val="00064D7C"/>
    <w:rsid w:val="00180B68"/>
    <w:rsid w:val="002118DA"/>
    <w:rsid w:val="00245F98"/>
    <w:rsid w:val="0033406A"/>
    <w:rsid w:val="00357145"/>
    <w:rsid w:val="003F6EE0"/>
    <w:rsid w:val="005E6B6B"/>
    <w:rsid w:val="00602B85"/>
    <w:rsid w:val="006B41D1"/>
    <w:rsid w:val="00792E01"/>
    <w:rsid w:val="007B675C"/>
    <w:rsid w:val="00833C21"/>
    <w:rsid w:val="00930C3F"/>
    <w:rsid w:val="009B6B90"/>
    <w:rsid w:val="00A55C72"/>
    <w:rsid w:val="00A80CC5"/>
    <w:rsid w:val="00A935E9"/>
    <w:rsid w:val="00CB49A7"/>
    <w:rsid w:val="00E772B6"/>
    <w:rsid w:val="00F22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6D542D-EB64-4AA5-ABA3-6631B4B50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45F98"/>
  </w:style>
  <w:style w:type="paragraph" w:styleId="Nadpis1">
    <w:name w:val="heading 1"/>
    <w:basedOn w:val="Normlny"/>
    <w:next w:val="Normlny"/>
    <w:link w:val="Nadpis1Char"/>
    <w:uiPriority w:val="9"/>
    <w:qFormat/>
    <w:rsid w:val="002118DA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Svetlmriekazvraznenie111">
    <w:name w:val="Svetlá mriežka – zvýraznenie 111"/>
    <w:basedOn w:val="Normlnatabuka"/>
    <w:uiPriority w:val="62"/>
    <w:rsid w:val="00245F98"/>
    <w:pPr>
      <w:spacing w:after="0" w:line="240" w:lineRule="auto"/>
    </w:pPr>
    <w:rPr>
      <w:rFonts w:ascii="Trebuchet MS" w:eastAsia="Trebuchet MS" w:hAnsi="Trebuchet MS" w:cs="Times New Roman"/>
      <w:sz w:val="20"/>
      <w:szCs w:val="20"/>
      <w:lang w:eastAsia="sk-SK"/>
    </w:rPr>
    <w:tblPr>
      <w:tblStyleRowBandSize w:val="1"/>
      <w:tblStyleColBandSize w:val="1"/>
      <w:tblBorders>
        <w:top w:val="single" w:sz="8" w:space="0" w:color="4E67C8"/>
        <w:left w:val="single" w:sz="8" w:space="0" w:color="4E67C8"/>
        <w:bottom w:val="single" w:sz="8" w:space="0" w:color="4E67C8"/>
        <w:right w:val="single" w:sz="8" w:space="0" w:color="4E67C8"/>
        <w:insideH w:val="single" w:sz="8" w:space="0" w:color="4E67C8"/>
        <w:insideV w:val="single" w:sz="8" w:space="0" w:color="4E67C8"/>
      </w:tblBorders>
    </w:tblPr>
    <w:tblStylePr w:type="firstRow">
      <w:pPr>
        <w:spacing w:beforeLines="0" w:beforeAutospacing="0" w:afterLines="0" w:afterAutospacing="0" w:line="240" w:lineRule="auto"/>
      </w:pPr>
      <w:rPr>
        <w:rFonts w:ascii="Georgia" w:eastAsia="Times New Roman" w:hAnsi="Georgia" w:cs="Times New Roman" w:hint="default"/>
        <w:b/>
        <w:bCs/>
      </w:rPr>
      <w:tblPr/>
      <w:tcPr>
        <w:tcBorders>
          <w:top w:val="single" w:sz="8" w:space="0" w:color="4E67C8"/>
          <w:left w:val="single" w:sz="8" w:space="0" w:color="4E67C8"/>
          <w:bottom w:val="single" w:sz="18" w:space="0" w:color="4E67C8"/>
          <w:right w:val="single" w:sz="8" w:space="0" w:color="4E67C8"/>
          <w:insideH w:val="nil"/>
          <w:insideV w:val="single" w:sz="8" w:space="0" w:color="4E67C8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="Georgia" w:eastAsia="Times New Roman" w:hAnsi="Georgia" w:cs="Times New Roman" w:hint="default"/>
        <w:b/>
        <w:bCs/>
      </w:rPr>
      <w:tblPr/>
      <w:tcPr>
        <w:tcBorders>
          <w:top w:val="double" w:sz="6" w:space="0" w:color="4E67C8"/>
          <w:left w:val="single" w:sz="8" w:space="0" w:color="4E67C8"/>
          <w:bottom w:val="single" w:sz="8" w:space="0" w:color="4E67C8"/>
          <w:right w:val="single" w:sz="8" w:space="0" w:color="4E67C8"/>
          <w:insideH w:val="nil"/>
          <w:insideV w:val="single" w:sz="8" w:space="0" w:color="4E67C8"/>
        </w:tcBorders>
      </w:tcPr>
    </w:tblStylePr>
    <w:tblStylePr w:type="firstCol">
      <w:rPr>
        <w:rFonts w:ascii="Georgia" w:eastAsia="Times New Roman" w:hAnsi="Georgia" w:cs="Times New Roman" w:hint="default"/>
        <w:b/>
        <w:bCs/>
      </w:rPr>
    </w:tblStylePr>
    <w:tblStylePr w:type="lastCol">
      <w:rPr>
        <w:rFonts w:ascii="Georgia" w:eastAsia="Times New Roman" w:hAnsi="Georgia" w:cs="Times New Roman" w:hint="default"/>
        <w:b/>
        <w:bCs/>
      </w:rPr>
      <w:tblPr/>
      <w:tcPr>
        <w:tcBorders>
          <w:top w:val="single" w:sz="8" w:space="0" w:color="4E67C8"/>
          <w:left w:val="single" w:sz="8" w:space="0" w:color="4E67C8"/>
          <w:bottom w:val="single" w:sz="8" w:space="0" w:color="4E67C8"/>
          <w:right w:val="single" w:sz="8" w:space="0" w:color="4E67C8"/>
        </w:tcBorders>
      </w:tcPr>
    </w:tblStylePr>
    <w:tblStylePr w:type="band1Vert">
      <w:tblPr/>
      <w:tcPr>
        <w:tcBorders>
          <w:top w:val="single" w:sz="8" w:space="0" w:color="4E67C8"/>
          <w:left w:val="single" w:sz="8" w:space="0" w:color="4E67C8"/>
          <w:bottom w:val="single" w:sz="8" w:space="0" w:color="4E67C8"/>
          <w:right w:val="single" w:sz="8" w:space="0" w:color="4E67C8"/>
        </w:tcBorders>
        <w:shd w:val="clear" w:color="auto" w:fill="D3D9F1"/>
      </w:tcPr>
    </w:tblStylePr>
    <w:tblStylePr w:type="band1Horz">
      <w:tblPr/>
      <w:tcPr>
        <w:tcBorders>
          <w:top w:val="single" w:sz="8" w:space="0" w:color="4E67C8"/>
          <w:left w:val="single" w:sz="8" w:space="0" w:color="4E67C8"/>
          <w:bottom w:val="single" w:sz="8" w:space="0" w:color="4E67C8"/>
          <w:right w:val="single" w:sz="8" w:space="0" w:color="4E67C8"/>
          <w:insideV w:val="single" w:sz="8" w:space="0" w:color="4E67C8"/>
        </w:tcBorders>
        <w:shd w:val="clear" w:color="auto" w:fill="D3D9F1"/>
      </w:tcPr>
    </w:tblStylePr>
    <w:tblStylePr w:type="band2Horz">
      <w:tblPr/>
      <w:tcPr>
        <w:tcBorders>
          <w:top w:val="single" w:sz="8" w:space="0" w:color="4E67C8"/>
          <w:left w:val="single" w:sz="8" w:space="0" w:color="4E67C8"/>
          <w:bottom w:val="single" w:sz="8" w:space="0" w:color="4E67C8"/>
          <w:right w:val="single" w:sz="8" w:space="0" w:color="4E67C8"/>
          <w:insideV w:val="single" w:sz="8" w:space="0" w:color="4E67C8"/>
        </w:tcBorders>
      </w:tcPr>
    </w:tblStylePr>
  </w:style>
  <w:style w:type="character" w:styleId="Odkaznakomentr">
    <w:name w:val="annotation reference"/>
    <w:basedOn w:val="Predvolenpsmoodseku"/>
    <w:uiPriority w:val="99"/>
    <w:semiHidden/>
    <w:unhideWhenUsed/>
    <w:rsid w:val="007B675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B675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B675C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B675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B675C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B6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B675C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uiPriority w:val="9"/>
    <w:rsid w:val="002118D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sk-SK"/>
    </w:rPr>
  </w:style>
  <w:style w:type="paragraph" w:styleId="Odsekzoznamu">
    <w:name w:val="List Paragraph"/>
    <w:aliases w:val="body,Odsek zoznamu2,List Paragraph,Odsek zoznamu1,Dot pt,F5 List Paragraph,Recommendation,List Paragraph11,List Paragraph à moi,Odsek zoznamu4,No Spacing1,List Paragraph Char Char Char,Indicator Text,Numbered Para 1"/>
    <w:basedOn w:val="Normlny"/>
    <w:link w:val="OdsekzoznamuChar"/>
    <w:uiPriority w:val="34"/>
    <w:qFormat/>
    <w:rsid w:val="002118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A935E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A935E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2 Char,List Paragraph Char,Odsek zoznamu1 Char,Dot pt Char,F5 List Paragraph Char,Recommendation Char,List Paragraph11 Char,List Paragraph à moi Char,Odsek zoznamu4 Char,No Spacing1 Char,Indicator Text Char"/>
    <w:basedOn w:val="Predvolenpsmoodseku"/>
    <w:link w:val="Odsekzoznamu"/>
    <w:uiPriority w:val="34"/>
    <w:locked/>
    <w:rsid w:val="00E772B6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1604</Words>
  <Characters>9148</Characters>
  <Application>Microsoft Office Word</Application>
  <DocSecurity>0</DocSecurity>
  <Lines>76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MPRR SR</Company>
  <LinksUpToDate>false</LinksUpToDate>
  <CharactersWithSpaces>10731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Mikláš Norbert</dc:creator>
  <cp:lastModifiedBy>Daniel</cp:lastModifiedBy>
  <cp:revision>2</cp:revision>
  <dcterms:created xsi:type="dcterms:W3CDTF">2019-05-22T15:09:00Z</dcterms:created>
  <dcterms:modified xsi:type="dcterms:W3CDTF">2019-05-22T15:09:00Z</dcterms:modified>
</cp:coreProperties>
</file>