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21" w:rsidRPr="00AD0BCD" w:rsidRDefault="00850221"/>
    <w:p w:rsidR="006C7513" w:rsidRDefault="00CE5657" w:rsidP="00C82898">
      <w:pPr>
        <w:spacing w:after="0"/>
        <w:jc w:val="both"/>
        <w:textAlignment w:val="baseline"/>
        <w:rPr>
          <w:b/>
          <w:color w:val="244061" w:themeColor="accent1" w:themeShade="80"/>
          <w:sz w:val="28"/>
          <w:szCs w:val="28"/>
        </w:rPr>
      </w:pPr>
      <w:r>
        <w:rPr>
          <w:b/>
          <w:color w:val="244061" w:themeColor="accent1" w:themeShade="80"/>
          <w:sz w:val="32"/>
          <w:szCs w:val="32"/>
        </w:rPr>
        <w:t>ANALÝZA STAVU A MOŽNOSTÍ REGIONÁLNEJ POLITIKY V OBLASTI ZAMESTNÁVANIA 50</w:t>
      </w:r>
      <w:r w:rsidR="001767A8">
        <w:rPr>
          <w:b/>
          <w:color w:val="244061" w:themeColor="accent1" w:themeShade="80"/>
          <w:sz w:val="32"/>
          <w:szCs w:val="32"/>
        </w:rPr>
        <w:t>+</w:t>
      </w:r>
      <w:r w:rsidR="00093F2C" w:rsidRPr="00093F2C">
        <w:rPr>
          <w:b/>
          <w:color w:val="244061" w:themeColor="accent1" w:themeShade="80"/>
          <w:sz w:val="32"/>
          <w:szCs w:val="32"/>
        </w:rPr>
        <w:t xml:space="preserve">  </w:t>
      </w:r>
      <w:r w:rsidR="00093F2C">
        <w:rPr>
          <w:b/>
          <w:color w:val="244061" w:themeColor="accent1" w:themeShade="80"/>
          <w:sz w:val="28"/>
          <w:szCs w:val="28"/>
        </w:rPr>
        <w:tab/>
      </w:r>
    </w:p>
    <w:p w:rsidR="00C82898" w:rsidRPr="00AD0BCD" w:rsidRDefault="00093F2C" w:rsidP="00C82898">
      <w:pPr>
        <w:spacing w:after="0"/>
        <w:jc w:val="both"/>
        <w:textAlignment w:val="baseline"/>
      </w:pPr>
      <w:r>
        <w:rPr>
          <w:rFonts w:eastAsia="Times New Roman" w:cs="Arial"/>
          <w:i/>
          <w:color w:val="000000"/>
          <w:lang w:eastAsia="sk-SK"/>
        </w:rPr>
        <w:t>Autori</w:t>
      </w:r>
      <w:r w:rsidR="00C82898" w:rsidRPr="00AD0BCD">
        <w:rPr>
          <w:rFonts w:eastAsia="Times New Roman" w:cs="Arial"/>
          <w:i/>
          <w:color w:val="000000"/>
          <w:lang w:eastAsia="sk-SK"/>
        </w:rPr>
        <w:t>:</w:t>
      </w:r>
      <w:r>
        <w:rPr>
          <w:rFonts w:eastAsia="Times New Roman" w:cs="Arial"/>
          <w:i/>
          <w:color w:val="000000"/>
          <w:lang w:eastAsia="sk-SK"/>
        </w:rPr>
        <w:tab/>
      </w:r>
      <w:r w:rsidR="00824AAF">
        <w:rPr>
          <w:rFonts w:eastAsia="Times New Roman" w:cs="Arial"/>
          <w:i/>
          <w:color w:val="000000"/>
          <w:lang w:eastAsia="sk-SK"/>
        </w:rPr>
        <w:t>Ing. Emília Kodríková</w:t>
      </w:r>
    </w:p>
    <w:p w:rsidR="00C82898" w:rsidRDefault="00C82898"/>
    <w:sdt>
      <w:sdtPr>
        <w:rPr>
          <w:rFonts w:asciiTheme="minorHAnsi" w:eastAsiaTheme="minorHAnsi" w:hAnsiTheme="minorHAnsi" w:cstheme="minorBidi"/>
          <w:b w:val="0"/>
          <w:bCs w:val="0"/>
          <w:color w:val="auto"/>
          <w:sz w:val="22"/>
          <w:szCs w:val="22"/>
          <w:lang w:val="cs-CZ" w:eastAsia="en-US"/>
        </w:rPr>
        <w:id w:val="2043092924"/>
        <w:docPartObj>
          <w:docPartGallery w:val="Table of Contents"/>
          <w:docPartUnique/>
        </w:docPartObj>
      </w:sdtPr>
      <w:sdtContent>
        <w:p w:rsidR="00093F2C" w:rsidRPr="00093F2C" w:rsidRDefault="00093F2C">
          <w:pPr>
            <w:pStyle w:val="Hlavikaobsahu"/>
            <w:rPr>
              <w:rFonts w:asciiTheme="minorHAnsi" w:hAnsiTheme="minorHAnsi"/>
            </w:rPr>
          </w:pPr>
          <w:r w:rsidRPr="00093F2C">
            <w:rPr>
              <w:rFonts w:asciiTheme="minorHAnsi" w:hAnsiTheme="minorHAnsi"/>
              <w:lang w:val="cs-CZ"/>
            </w:rPr>
            <w:t>Obsah</w:t>
          </w:r>
        </w:p>
        <w:p w:rsidR="00490516" w:rsidRDefault="00C567DA">
          <w:pPr>
            <w:pStyle w:val="Obsah1"/>
            <w:rPr>
              <w:rFonts w:eastAsiaTheme="minorEastAsia"/>
              <w:noProof/>
              <w:lang w:eastAsia="sk-SK"/>
            </w:rPr>
          </w:pPr>
          <w:r>
            <w:fldChar w:fldCharType="begin"/>
          </w:r>
          <w:r w:rsidR="00093F2C">
            <w:instrText xml:space="preserve"> TOC \o "1-3" \h \z \u </w:instrText>
          </w:r>
          <w:r>
            <w:fldChar w:fldCharType="separate"/>
          </w:r>
          <w:hyperlink w:anchor="_Toc536769633" w:history="1">
            <w:r w:rsidR="00490516" w:rsidRPr="00526895">
              <w:rPr>
                <w:rStyle w:val="Hypertextovprepojenie"/>
                <w:noProof/>
              </w:rPr>
              <w:t>RESUME</w:t>
            </w:r>
            <w:r w:rsidR="00490516">
              <w:rPr>
                <w:noProof/>
                <w:webHidden/>
              </w:rPr>
              <w:tab/>
            </w:r>
            <w:r>
              <w:rPr>
                <w:noProof/>
                <w:webHidden/>
              </w:rPr>
              <w:fldChar w:fldCharType="begin"/>
            </w:r>
            <w:r w:rsidR="00490516">
              <w:rPr>
                <w:noProof/>
                <w:webHidden/>
              </w:rPr>
              <w:instrText xml:space="preserve"> PAGEREF _Toc536769633 \h </w:instrText>
            </w:r>
            <w:r>
              <w:rPr>
                <w:noProof/>
                <w:webHidden/>
              </w:rPr>
            </w:r>
            <w:r>
              <w:rPr>
                <w:noProof/>
                <w:webHidden/>
              </w:rPr>
              <w:fldChar w:fldCharType="separate"/>
            </w:r>
            <w:r w:rsidR="00B06AD8">
              <w:rPr>
                <w:noProof/>
                <w:webHidden/>
              </w:rPr>
              <w:t>2</w:t>
            </w:r>
            <w:r>
              <w:rPr>
                <w:noProof/>
                <w:webHidden/>
              </w:rPr>
              <w:fldChar w:fldCharType="end"/>
            </w:r>
          </w:hyperlink>
        </w:p>
        <w:p w:rsidR="00490516" w:rsidRDefault="001C3632">
          <w:pPr>
            <w:pStyle w:val="Obsah1"/>
            <w:rPr>
              <w:rFonts w:eastAsiaTheme="minorEastAsia"/>
              <w:noProof/>
              <w:lang w:eastAsia="sk-SK"/>
            </w:rPr>
          </w:pPr>
          <w:hyperlink w:anchor="_Toc536769634" w:history="1">
            <w:r w:rsidR="00490516" w:rsidRPr="00526895">
              <w:rPr>
                <w:rStyle w:val="Hypertextovprepojenie"/>
                <w:noProof/>
              </w:rPr>
              <w:t>1.</w:t>
            </w:r>
            <w:r w:rsidR="00490516">
              <w:rPr>
                <w:rFonts w:eastAsiaTheme="minorEastAsia"/>
                <w:noProof/>
                <w:lang w:eastAsia="sk-SK"/>
              </w:rPr>
              <w:tab/>
            </w:r>
            <w:r w:rsidR="00490516" w:rsidRPr="00526895">
              <w:rPr>
                <w:rStyle w:val="Hypertextovprepojenie"/>
                <w:noProof/>
              </w:rPr>
              <w:t>METODIKA ZBERU DÁT A ZAMERANIE ANALÝZY</w:t>
            </w:r>
            <w:r w:rsidR="00490516">
              <w:rPr>
                <w:noProof/>
                <w:webHidden/>
              </w:rPr>
              <w:tab/>
            </w:r>
            <w:r w:rsidR="00C567DA">
              <w:rPr>
                <w:noProof/>
                <w:webHidden/>
              </w:rPr>
              <w:fldChar w:fldCharType="begin"/>
            </w:r>
            <w:r w:rsidR="00490516">
              <w:rPr>
                <w:noProof/>
                <w:webHidden/>
              </w:rPr>
              <w:instrText xml:space="preserve"> PAGEREF _Toc536769634 \h </w:instrText>
            </w:r>
            <w:r w:rsidR="00C567DA">
              <w:rPr>
                <w:noProof/>
                <w:webHidden/>
              </w:rPr>
            </w:r>
            <w:r w:rsidR="00C567DA">
              <w:rPr>
                <w:noProof/>
                <w:webHidden/>
              </w:rPr>
              <w:fldChar w:fldCharType="separate"/>
            </w:r>
            <w:r w:rsidR="00B06AD8">
              <w:rPr>
                <w:noProof/>
                <w:webHidden/>
              </w:rPr>
              <w:t>3</w:t>
            </w:r>
            <w:r w:rsidR="00C567DA">
              <w:rPr>
                <w:noProof/>
                <w:webHidden/>
              </w:rPr>
              <w:fldChar w:fldCharType="end"/>
            </w:r>
          </w:hyperlink>
        </w:p>
        <w:p w:rsidR="00490516" w:rsidRDefault="001C3632">
          <w:pPr>
            <w:pStyle w:val="Obsah2"/>
            <w:tabs>
              <w:tab w:val="left" w:pos="880"/>
              <w:tab w:val="right" w:leader="dot" w:pos="9062"/>
            </w:tabs>
            <w:rPr>
              <w:rFonts w:eastAsiaTheme="minorEastAsia"/>
              <w:noProof/>
              <w:lang w:eastAsia="sk-SK"/>
            </w:rPr>
          </w:pPr>
          <w:hyperlink w:anchor="_Toc536769635" w:history="1">
            <w:r w:rsidR="00490516" w:rsidRPr="00526895">
              <w:rPr>
                <w:rStyle w:val="Hypertextovprepojenie"/>
                <w:noProof/>
              </w:rPr>
              <w:t>1.2</w:t>
            </w:r>
            <w:r w:rsidR="00490516">
              <w:rPr>
                <w:rFonts w:eastAsiaTheme="minorEastAsia"/>
                <w:noProof/>
                <w:lang w:eastAsia="sk-SK"/>
              </w:rPr>
              <w:tab/>
            </w:r>
            <w:r w:rsidR="00490516" w:rsidRPr="00526895">
              <w:rPr>
                <w:rStyle w:val="Hypertextovprepojenie"/>
                <w:noProof/>
              </w:rPr>
              <w:t>Metodika zberu dát</w:t>
            </w:r>
            <w:r w:rsidR="00490516">
              <w:rPr>
                <w:noProof/>
                <w:webHidden/>
              </w:rPr>
              <w:tab/>
            </w:r>
            <w:r w:rsidR="00C567DA">
              <w:rPr>
                <w:noProof/>
                <w:webHidden/>
              </w:rPr>
              <w:fldChar w:fldCharType="begin"/>
            </w:r>
            <w:r w:rsidR="00490516">
              <w:rPr>
                <w:noProof/>
                <w:webHidden/>
              </w:rPr>
              <w:instrText xml:space="preserve"> PAGEREF _Toc536769635 \h </w:instrText>
            </w:r>
            <w:r w:rsidR="00C567DA">
              <w:rPr>
                <w:noProof/>
                <w:webHidden/>
              </w:rPr>
            </w:r>
            <w:r w:rsidR="00C567DA">
              <w:rPr>
                <w:noProof/>
                <w:webHidden/>
              </w:rPr>
              <w:fldChar w:fldCharType="separate"/>
            </w:r>
            <w:r w:rsidR="00B06AD8">
              <w:rPr>
                <w:noProof/>
                <w:webHidden/>
              </w:rPr>
              <w:t>4</w:t>
            </w:r>
            <w:r w:rsidR="00C567DA">
              <w:rPr>
                <w:noProof/>
                <w:webHidden/>
              </w:rPr>
              <w:fldChar w:fldCharType="end"/>
            </w:r>
          </w:hyperlink>
        </w:p>
        <w:p w:rsidR="00490516" w:rsidRDefault="001C3632">
          <w:pPr>
            <w:pStyle w:val="Obsah2"/>
            <w:tabs>
              <w:tab w:val="right" w:leader="dot" w:pos="9062"/>
            </w:tabs>
            <w:rPr>
              <w:rFonts w:eastAsiaTheme="minorEastAsia"/>
              <w:noProof/>
              <w:lang w:eastAsia="sk-SK"/>
            </w:rPr>
          </w:pPr>
          <w:hyperlink w:anchor="_Toc536769636" w:history="1">
            <w:r w:rsidR="00490516" w:rsidRPr="00526895">
              <w:rPr>
                <w:rStyle w:val="Hypertextovprepojenie"/>
                <w:noProof/>
              </w:rPr>
              <w:t xml:space="preserve">1.3 </w:t>
            </w:r>
            <w:r w:rsidR="006D6A9D">
              <w:rPr>
                <w:rStyle w:val="Hypertextovprepojenie"/>
                <w:noProof/>
              </w:rPr>
              <w:t xml:space="preserve">       </w:t>
            </w:r>
            <w:r w:rsidR="00490516" w:rsidRPr="00526895">
              <w:rPr>
                <w:rStyle w:val="Hypertextovprepojenie"/>
                <w:noProof/>
              </w:rPr>
              <w:t>Predmetné územie</w:t>
            </w:r>
            <w:r w:rsidR="00490516">
              <w:rPr>
                <w:noProof/>
                <w:webHidden/>
              </w:rPr>
              <w:tab/>
            </w:r>
            <w:r w:rsidR="00C567DA">
              <w:rPr>
                <w:noProof/>
                <w:webHidden/>
              </w:rPr>
              <w:fldChar w:fldCharType="begin"/>
            </w:r>
            <w:r w:rsidR="00490516">
              <w:rPr>
                <w:noProof/>
                <w:webHidden/>
              </w:rPr>
              <w:instrText xml:space="preserve"> PAGEREF _Toc536769636 \h </w:instrText>
            </w:r>
            <w:r w:rsidR="00C567DA">
              <w:rPr>
                <w:noProof/>
                <w:webHidden/>
              </w:rPr>
            </w:r>
            <w:r w:rsidR="00C567DA">
              <w:rPr>
                <w:noProof/>
                <w:webHidden/>
              </w:rPr>
              <w:fldChar w:fldCharType="separate"/>
            </w:r>
            <w:r w:rsidR="00B06AD8">
              <w:rPr>
                <w:noProof/>
                <w:webHidden/>
              </w:rPr>
              <w:t>5</w:t>
            </w:r>
            <w:r w:rsidR="00C567DA">
              <w:rPr>
                <w:noProof/>
                <w:webHidden/>
              </w:rPr>
              <w:fldChar w:fldCharType="end"/>
            </w:r>
          </w:hyperlink>
        </w:p>
        <w:p w:rsidR="00490516" w:rsidRDefault="001C3632">
          <w:pPr>
            <w:pStyle w:val="Obsah2"/>
            <w:tabs>
              <w:tab w:val="left" w:pos="880"/>
              <w:tab w:val="right" w:leader="dot" w:pos="9062"/>
            </w:tabs>
            <w:rPr>
              <w:rFonts w:eastAsiaTheme="minorEastAsia"/>
              <w:noProof/>
              <w:lang w:eastAsia="sk-SK"/>
            </w:rPr>
          </w:pPr>
          <w:hyperlink w:anchor="_Toc536769637" w:history="1">
            <w:r w:rsidR="00490516" w:rsidRPr="00526895">
              <w:rPr>
                <w:rStyle w:val="Hypertextovprepojenie"/>
                <w:noProof/>
              </w:rPr>
              <w:t>1.4</w:t>
            </w:r>
            <w:r w:rsidR="00490516">
              <w:rPr>
                <w:rFonts w:eastAsiaTheme="minorEastAsia"/>
                <w:noProof/>
                <w:lang w:eastAsia="sk-SK"/>
              </w:rPr>
              <w:tab/>
            </w:r>
            <w:r w:rsidR="00490516" w:rsidRPr="00526895">
              <w:rPr>
                <w:rStyle w:val="Hypertextovprepojenie"/>
                <w:noProof/>
              </w:rPr>
              <w:t>Cieľová skupina</w:t>
            </w:r>
            <w:r w:rsidR="00490516">
              <w:rPr>
                <w:noProof/>
                <w:webHidden/>
              </w:rPr>
              <w:tab/>
            </w:r>
            <w:r w:rsidR="00C567DA">
              <w:rPr>
                <w:noProof/>
                <w:webHidden/>
              </w:rPr>
              <w:fldChar w:fldCharType="begin"/>
            </w:r>
            <w:r w:rsidR="00490516">
              <w:rPr>
                <w:noProof/>
                <w:webHidden/>
              </w:rPr>
              <w:instrText xml:space="preserve"> PAGEREF _Toc536769637 \h </w:instrText>
            </w:r>
            <w:r w:rsidR="00C567DA">
              <w:rPr>
                <w:noProof/>
                <w:webHidden/>
              </w:rPr>
            </w:r>
            <w:r w:rsidR="00C567DA">
              <w:rPr>
                <w:noProof/>
                <w:webHidden/>
              </w:rPr>
              <w:fldChar w:fldCharType="separate"/>
            </w:r>
            <w:r w:rsidR="00B06AD8">
              <w:rPr>
                <w:noProof/>
                <w:webHidden/>
              </w:rPr>
              <w:t>9</w:t>
            </w:r>
            <w:r w:rsidR="00C567DA">
              <w:rPr>
                <w:noProof/>
                <w:webHidden/>
              </w:rPr>
              <w:fldChar w:fldCharType="end"/>
            </w:r>
          </w:hyperlink>
        </w:p>
        <w:p w:rsidR="00490516" w:rsidRDefault="001C3632">
          <w:pPr>
            <w:pStyle w:val="Obsah1"/>
            <w:rPr>
              <w:rFonts w:eastAsiaTheme="minorEastAsia"/>
              <w:noProof/>
              <w:lang w:eastAsia="sk-SK"/>
            </w:rPr>
          </w:pPr>
          <w:hyperlink w:anchor="_Toc536769638" w:history="1">
            <w:r w:rsidR="00490516" w:rsidRPr="00526895">
              <w:rPr>
                <w:rStyle w:val="Hypertextovprepojenie"/>
                <w:noProof/>
              </w:rPr>
              <w:t>2.</w:t>
            </w:r>
            <w:r w:rsidR="00490516">
              <w:rPr>
                <w:rFonts w:eastAsiaTheme="minorEastAsia"/>
                <w:noProof/>
                <w:lang w:eastAsia="sk-SK"/>
              </w:rPr>
              <w:tab/>
            </w:r>
            <w:r w:rsidR="00490516" w:rsidRPr="00526895">
              <w:rPr>
                <w:rStyle w:val="Hypertextovprepojenie"/>
                <w:noProof/>
              </w:rPr>
              <w:t>LEGISLATÍVNE A PROGRAMOVÉ RÁMCE</w:t>
            </w:r>
            <w:r w:rsidR="00490516">
              <w:rPr>
                <w:noProof/>
                <w:webHidden/>
              </w:rPr>
              <w:tab/>
            </w:r>
            <w:r w:rsidR="00C567DA">
              <w:rPr>
                <w:noProof/>
                <w:webHidden/>
              </w:rPr>
              <w:fldChar w:fldCharType="begin"/>
            </w:r>
            <w:r w:rsidR="00490516">
              <w:rPr>
                <w:noProof/>
                <w:webHidden/>
              </w:rPr>
              <w:instrText xml:space="preserve"> PAGEREF _Toc536769638 \h </w:instrText>
            </w:r>
            <w:r w:rsidR="00C567DA">
              <w:rPr>
                <w:noProof/>
                <w:webHidden/>
              </w:rPr>
            </w:r>
            <w:r w:rsidR="00C567DA">
              <w:rPr>
                <w:noProof/>
                <w:webHidden/>
              </w:rPr>
              <w:fldChar w:fldCharType="separate"/>
            </w:r>
            <w:r w:rsidR="00B06AD8">
              <w:rPr>
                <w:noProof/>
                <w:webHidden/>
              </w:rPr>
              <w:t>10</w:t>
            </w:r>
            <w:r w:rsidR="00C567DA">
              <w:rPr>
                <w:noProof/>
                <w:webHidden/>
              </w:rPr>
              <w:fldChar w:fldCharType="end"/>
            </w:r>
          </w:hyperlink>
        </w:p>
        <w:p w:rsidR="00490516" w:rsidRDefault="001C3632">
          <w:pPr>
            <w:pStyle w:val="Obsah2"/>
            <w:tabs>
              <w:tab w:val="left" w:pos="880"/>
              <w:tab w:val="right" w:leader="dot" w:pos="9062"/>
            </w:tabs>
            <w:rPr>
              <w:rFonts w:eastAsiaTheme="minorEastAsia"/>
              <w:noProof/>
              <w:lang w:eastAsia="sk-SK"/>
            </w:rPr>
          </w:pPr>
          <w:hyperlink w:anchor="_Toc536769639" w:history="1">
            <w:r w:rsidR="00490516" w:rsidRPr="00526895">
              <w:rPr>
                <w:rStyle w:val="Hypertextovprepojenie"/>
                <w:noProof/>
              </w:rPr>
              <w:t>2.1</w:t>
            </w:r>
            <w:r w:rsidR="00490516">
              <w:rPr>
                <w:rFonts w:eastAsiaTheme="minorEastAsia"/>
                <w:noProof/>
                <w:lang w:eastAsia="sk-SK"/>
              </w:rPr>
              <w:tab/>
            </w:r>
            <w:r w:rsidR="00490516" w:rsidRPr="00526895">
              <w:rPr>
                <w:rStyle w:val="Hypertextovprepojenie"/>
                <w:noProof/>
              </w:rPr>
              <w:t>Legislatívne rámce na národnej úrovni</w:t>
            </w:r>
            <w:r w:rsidR="00490516">
              <w:rPr>
                <w:noProof/>
                <w:webHidden/>
              </w:rPr>
              <w:tab/>
            </w:r>
            <w:r w:rsidR="00C567DA">
              <w:rPr>
                <w:noProof/>
                <w:webHidden/>
              </w:rPr>
              <w:fldChar w:fldCharType="begin"/>
            </w:r>
            <w:r w:rsidR="00490516">
              <w:rPr>
                <w:noProof/>
                <w:webHidden/>
              </w:rPr>
              <w:instrText xml:space="preserve"> PAGEREF _Toc536769639 \h </w:instrText>
            </w:r>
            <w:r w:rsidR="00C567DA">
              <w:rPr>
                <w:noProof/>
                <w:webHidden/>
              </w:rPr>
            </w:r>
            <w:r w:rsidR="00C567DA">
              <w:rPr>
                <w:noProof/>
                <w:webHidden/>
              </w:rPr>
              <w:fldChar w:fldCharType="separate"/>
            </w:r>
            <w:r w:rsidR="00B06AD8">
              <w:rPr>
                <w:noProof/>
                <w:webHidden/>
              </w:rPr>
              <w:t>10</w:t>
            </w:r>
            <w:r w:rsidR="00C567DA">
              <w:rPr>
                <w:noProof/>
                <w:webHidden/>
              </w:rPr>
              <w:fldChar w:fldCharType="end"/>
            </w:r>
          </w:hyperlink>
        </w:p>
        <w:p w:rsidR="00490516" w:rsidRDefault="001C3632">
          <w:pPr>
            <w:pStyle w:val="Obsah2"/>
            <w:tabs>
              <w:tab w:val="left" w:pos="880"/>
              <w:tab w:val="right" w:leader="dot" w:pos="9062"/>
            </w:tabs>
            <w:rPr>
              <w:rFonts w:eastAsiaTheme="minorEastAsia"/>
              <w:noProof/>
              <w:lang w:eastAsia="sk-SK"/>
            </w:rPr>
          </w:pPr>
          <w:hyperlink w:anchor="_Toc536769640" w:history="1">
            <w:r w:rsidR="00490516" w:rsidRPr="00526895">
              <w:rPr>
                <w:rStyle w:val="Hypertextovprepojenie"/>
                <w:noProof/>
              </w:rPr>
              <w:t>2.2</w:t>
            </w:r>
            <w:r w:rsidR="00490516">
              <w:rPr>
                <w:rFonts w:eastAsiaTheme="minorEastAsia"/>
                <w:noProof/>
                <w:lang w:eastAsia="sk-SK"/>
              </w:rPr>
              <w:tab/>
            </w:r>
            <w:r w:rsidR="00490516" w:rsidRPr="00526895">
              <w:rPr>
                <w:rStyle w:val="Hypertextovprepojenie"/>
                <w:noProof/>
              </w:rPr>
              <w:t>Legislatívne rámce na regionálnej a miestnej úrovni</w:t>
            </w:r>
            <w:r w:rsidR="00490516">
              <w:rPr>
                <w:noProof/>
                <w:webHidden/>
              </w:rPr>
              <w:tab/>
            </w:r>
            <w:r w:rsidR="00C567DA">
              <w:rPr>
                <w:noProof/>
                <w:webHidden/>
              </w:rPr>
              <w:fldChar w:fldCharType="begin"/>
            </w:r>
            <w:r w:rsidR="00490516">
              <w:rPr>
                <w:noProof/>
                <w:webHidden/>
              </w:rPr>
              <w:instrText xml:space="preserve"> PAGEREF _Toc536769640 \h </w:instrText>
            </w:r>
            <w:r w:rsidR="00C567DA">
              <w:rPr>
                <w:noProof/>
                <w:webHidden/>
              </w:rPr>
            </w:r>
            <w:r w:rsidR="00C567DA">
              <w:rPr>
                <w:noProof/>
                <w:webHidden/>
              </w:rPr>
              <w:fldChar w:fldCharType="separate"/>
            </w:r>
            <w:r w:rsidR="00B06AD8">
              <w:rPr>
                <w:noProof/>
                <w:webHidden/>
              </w:rPr>
              <w:t>13</w:t>
            </w:r>
            <w:r w:rsidR="00C567DA">
              <w:rPr>
                <w:noProof/>
                <w:webHidden/>
              </w:rPr>
              <w:fldChar w:fldCharType="end"/>
            </w:r>
          </w:hyperlink>
        </w:p>
        <w:p w:rsidR="00490516" w:rsidRDefault="001C3632">
          <w:pPr>
            <w:pStyle w:val="Obsah2"/>
            <w:tabs>
              <w:tab w:val="left" w:pos="880"/>
              <w:tab w:val="right" w:leader="dot" w:pos="9062"/>
            </w:tabs>
            <w:rPr>
              <w:rFonts w:eastAsiaTheme="minorEastAsia"/>
              <w:noProof/>
              <w:lang w:eastAsia="sk-SK"/>
            </w:rPr>
          </w:pPr>
          <w:hyperlink w:anchor="_Toc536769641" w:history="1">
            <w:r w:rsidR="00490516" w:rsidRPr="00526895">
              <w:rPr>
                <w:rStyle w:val="Hypertextovprepojenie"/>
                <w:noProof/>
              </w:rPr>
              <w:t>2.3</w:t>
            </w:r>
            <w:r w:rsidR="00490516">
              <w:rPr>
                <w:rFonts w:eastAsiaTheme="minorEastAsia"/>
                <w:noProof/>
                <w:lang w:eastAsia="sk-SK"/>
              </w:rPr>
              <w:tab/>
            </w:r>
            <w:r w:rsidR="00490516" w:rsidRPr="00526895">
              <w:rPr>
                <w:rStyle w:val="Hypertextovprepojenie"/>
                <w:noProof/>
              </w:rPr>
              <w:t>Strategické a programové dokumenty na národnej úrovni</w:t>
            </w:r>
            <w:r w:rsidR="00490516">
              <w:rPr>
                <w:noProof/>
                <w:webHidden/>
              </w:rPr>
              <w:tab/>
            </w:r>
            <w:r w:rsidR="00C567DA">
              <w:rPr>
                <w:noProof/>
                <w:webHidden/>
              </w:rPr>
              <w:fldChar w:fldCharType="begin"/>
            </w:r>
            <w:r w:rsidR="00490516">
              <w:rPr>
                <w:noProof/>
                <w:webHidden/>
              </w:rPr>
              <w:instrText xml:space="preserve"> PAGEREF _Toc536769641 \h </w:instrText>
            </w:r>
            <w:r w:rsidR="00C567DA">
              <w:rPr>
                <w:noProof/>
                <w:webHidden/>
              </w:rPr>
            </w:r>
            <w:r w:rsidR="00C567DA">
              <w:rPr>
                <w:noProof/>
                <w:webHidden/>
              </w:rPr>
              <w:fldChar w:fldCharType="separate"/>
            </w:r>
            <w:r w:rsidR="00B06AD8">
              <w:rPr>
                <w:noProof/>
                <w:webHidden/>
              </w:rPr>
              <w:t>13</w:t>
            </w:r>
            <w:r w:rsidR="00C567DA">
              <w:rPr>
                <w:noProof/>
                <w:webHidden/>
              </w:rPr>
              <w:fldChar w:fldCharType="end"/>
            </w:r>
          </w:hyperlink>
        </w:p>
        <w:p w:rsidR="00490516" w:rsidRDefault="001C3632">
          <w:pPr>
            <w:pStyle w:val="Obsah2"/>
            <w:tabs>
              <w:tab w:val="left" w:pos="880"/>
              <w:tab w:val="right" w:leader="dot" w:pos="9062"/>
            </w:tabs>
            <w:rPr>
              <w:rFonts w:eastAsiaTheme="minorEastAsia"/>
              <w:noProof/>
              <w:lang w:eastAsia="sk-SK"/>
            </w:rPr>
          </w:pPr>
          <w:hyperlink w:anchor="_Toc536769642" w:history="1">
            <w:r w:rsidR="00490516" w:rsidRPr="00526895">
              <w:rPr>
                <w:rStyle w:val="Hypertextovprepojenie"/>
                <w:noProof/>
              </w:rPr>
              <w:t>2.4</w:t>
            </w:r>
            <w:r w:rsidR="00490516">
              <w:rPr>
                <w:rFonts w:eastAsiaTheme="minorEastAsia"/>
                <w:noProof/>
                <w:lang w:eastAsia="sk-SK"/>
              </w:rPr>
              <w:tab/>
            </w:r>
            <w:r w:rsidR="00490516" w:rsidRPr="00526895">
              <w:rPr>
                <w:rStyle w:val="Hypertextovprepojenie"/>
                <w:noProof/>
              </w:rPr>
              <w:t>Programové a plánovacie dokumenty na regionálnej a miestnej úrovni</w:t>
            </w:r>
            <w:r w:rsidR="00490516">
              <w:rPr>
                <w:noProof/>
                <w:webHidden/>
              </w:rPr>
              <w:tab/>
            </w:r>
            <w:r w:rsidR="00C567DA">
              <w:rPr>
                <w:noProof/>
                <w:webHidden/>
              </w:rPr>
              <w:fldChar w:fldCharType="begin"/>
            </w:r>
            <w:r w:rsidR="00490516">
              <w:rPr>
                <w:noProof/>
                <w:webHidden/>
              </w:rPr>
              <w:instrText xml:space="preserve"> PAGEREF _Toc536769642 \h </w:instrText>
            </w:r>
            <w:r w:rsidR="00C567DA">
              <w:rPr>
                <w:noProof/>
                <w:webHidden/>
              </w:rPr>
            </w:r>
            <w:r w:rsidR="00C567DA">
              <w:rPr>
                <w:noProof/>
                <w:webHidden/>
              </w:rPr>
              <w:fldChar w:fldCharType="separate"/>
            </w:r>
            <w:r w:rsidR="00B06AD8">
              <w:rPr>
                <w:noProof/>
                <w:webHidden/>
              </w:rPr>
              <w:t>14</w:t>
            </w:r>
            <w:r w:rsidR="00C567DA">
              <w:rPr>
                <w:noProof/>
                <w:webHidden/>
              </w:rPr>
              <w:fldChar w:fldCharType="end"/>
            </w:r>
          </w:hyperlink>
        </w:p>
        <w:p w:rsidR="00490516" w:rsidRDefault="001C3632">
          <w:pPr>
            <w:pStyle w:val="Obsah1"/>
            <w:rPr>
              <w:rFonts w:eastAsiaTheme="minorEastAsia"/>
              <w:noProof/>
              <w:lang w:eastAsia="sk-SK"/>
            </w:rPr>
          </w:pPr>
          <w:hyperlink w:anchor="_Toc536769643" w:history="1">
            <w:r w:rsidR="00490516" w:rsidRPr="00526895">
              <w:rPr>
                <w:rStyle w:val="Hypertextovprepojenie"/>
                <w:noProof/>
              </w:rPr>
              <w:t>3.</w:t>
            </w:r>
            <w:r w:rsidR="00490516">
              <w:rPr>
                <w:rFonts w:eastAsiaTheme="minorEastAsia"/>
                <w:noProof/>
                <w:lang w:eastAsia="sk-SK"/>
              </w:rPr>
              <w:tab/>
            </w:r>
            <w:r w:rsidR="00490516" w:rsidRPr="00526895">
              <w:rPr>
                <w:rStyle w:val="Hypertextovprepojenie"/>
                <w:noProof/>
              </w:rPr>
              <w:t>ZÁKLADNÉ ZISTENIA</w:t>
            </w:r>
            <w:r w:rsidR="00490516">
              <w:rPr>
                <w:noProof/>
                <w:webHidden/>
              </w:rPr>
              <w:tab/>
            </w:r>
            <w:r w:rsidR="00C567DA">
              <w:rPr>
                <w:noProof/>
                <w:webHidden/>
              </w:rPr>
              <w:fldChar w:fldCharType="begin"/>
            </w:r>
            <w:r w:rsidR="00490516">
              <w:rPr>
                <w:noProof/>
                <w:webHidden/>
              </w:rPr>
              <w:instrText xml:space="preserve"> PAGEREF _Toc536769643 \h </w:instrText>
            </w:r>
            <w:r w:rsidR="00C567DA">
              <w:rPr>
                <w:noProof/>
                <w:webHidden/>
              </w:rPr>
            </w:r>
            <w:r w:rsidR="00C567DA">
              <w:rPr>
                <w:noProof/>
                <w:webHidden/>
              </w:rPr>
              <w:fldChar w:fldCharType="separate"/>
            </w:r>
            <w:r w:rsidR="00B06AD8">
              <w:rPr>
                <w:noProof/>
                <w:webHidden/>
              </w:rPr>
              <w:t>24</w:t>
            </w:r>
            <w:r w:rsidR="00C567DA">
              <w:rPr>
                <w:noProof/>
                <w:webHidden/>
              </w:rPr>
              <w:fldChar w:fldCharType="end"/>
            </w:r>
          </w:hyperlink>
        </w:p>
        <w:p w:rsidR="00490516" w:rsidRDefault="001C3632">
          <w:pPr>
            <w:pStyle w:val="Obsah1"/>
            <w:rPr>
              <w:rFonts w:eastAsiaTheme="minorEastAsia"/>
              <w:noProof/>
              <w:lang w:eastAsia="sk-SK"/>
            </w:rPr>
          </w:pPr>
          <w:hyperlink w:anchor="_Toc536769644" w:history="1">
            <w:r w:rsidR="00490516" w:rsidRPr="00526895">
              <w:rPr>
                <w:rStyle w:val="Hypertextovprepojenie"/>
                <w:noProof/>
              </w:rPr>
              <w:t>4.</w:t>
            </w:r>
            <w:r w:rsidR="00490516">
              <w:rPr>
                <w:rFonts w:eastAsiaTheme="minorEastAsia"/>
                <w:noProof/>
                <w:lang w:eastAsia="sk-SK"/>
              </w:rPr>
              <w:tab/>
            </w:r>
            <w:r w:rsidR="00490516" w:rsidRPr="00526895">
              <w:rPr>
                <w:rStyle w:val="Hypertextovprepojenie"/>
                <w:noProof/>
              </w:rPr>
              <w:t>ZÁVERY</w:t>
            </w:r>
            <w:r w:rsidR="00490516">
              <w:rPr>
                <w:noProof/>
                <w:webHidden/>
              </w:rPr>
              <w:tab/>
            </w:r>
            <w:r w:rsidR="00C567DA">
              <w:rPr>
                <w:noProof/>
                <w:webHidden/>
              </w:rPr>
              <w:fldChar w:fldCharType="begin"/>
            </w:r>
            <w:r w:rsidR="00490516">
              <w:rPr>
                <w:noProof/>
                <w:webHidden/>
              </w:rPr>
              <w:instrText xml:space="preserve"> PAGEREF _Toc536769644 \h </w:instrText>
            </w:r>
            <w:r w:rsidR="00C567DA">
              <w:rPr>
                <w:noProof/>
                <w:webHidden/>
              </w:rPr>
            </w:r>
            <w:r w:rsidR="00C567DA">
              <w:rPr>
                <w:noProof/>
                <w:webHidden/>
              </w:rPr>
              <w:fldChar w:fldCharType="separate"/>
            </w:r>
            <w:r w:rsidR="00B06AD8">
              <w:rPr>
                <w:noProof/>
                <w:webHidden/>
              </w:rPr>
              <w:t>25</w:t>
            </w:r>
            <w:r w:rsidR="00C567DA">
              <w:rPr>
                <w:noProof/>
                <w:webHidden/>
              </w:rPr>
              <w:fldChar w:fldCharType="end"/>
            </w:r>
          </w:hyperlink>
        </w:p>
        <w:p w:rsidR="00490516" w:rsidRDefault="001C3632">
          <w:pPr>
            <w:pStyle w:val="Obsah2"/>
            <w:tabs>
              <w:tab w:val="right" w:leader="dot" w:pos="9062"/>
            </w:tabs>
            <w:rPr>
              <w:rFonts w:eastAsiaTheme="minorEastAsia"/>
              <w:noProof/>
              <w:lang w:eastAsia="sk-SK"/>
            </w:rPr>
          </w:pPr>
          <w:hyperlink w:anchor="_Toc536769645" w:history="1">
            <w:r w:rsidR="00490516" w:rsidRPr="00526895">
              <w:rPr>
                <w:rStyle w:val="Hypertextovprepojenie"/>
                <w:noProof/>
              </w:rPr>
              <w:t xml:space="preserve">4.1 </w:t>
            </w:r>
            <w:r w:rsidR="004A641C">
              <w:rPr>
                <w:rStyle w:val="Hypertextovprepojenie"/>
                <w:noProof/>
              </w:rPr>
              <w:t xml:space="preserve">       </w:t>
            </w:r>
            <w:r w:rsidR="00490516" w:rsidRPr="00526895">
              <w:rPr>
                <w:rStyle w:val="Hypertextovprepojenie"/>
                <w:noProof/>
              </w:rPr>
              <w:t>Identifikované bariéry a obmedzenia</w:t>
            </w:r>
            <w:r w:rsidR="00490516">
              <w:rPr>
                <w:noProof/>
                <w:webHidden/>
              </w:rPr>
              <w:tab/>
            </w:r>
            <w:r w:rsidR="00C567DA">
              <w:rPr>
                <w:noProof/>
                <w:webHidden/>
              </w:rPr>
              <w:fldChar w:fldCharType="begin"/>
            </w:r>
            <w:r w:rsidR="00490516">
              <w:rPr>
                <w:noProof/>
                <w:webHidden/>
              </w:rPr>
              <w:instrText xml:space="preserve"> PAGEREF _Toc536769645 \h </w:instrText>
            </w:r>
            <w:r w:rsidR="00C567DA">
              <w:rPr>
                <w:noProof/>
                <w:webHidden/>
              </w:rPr>
            </w:r>
            <w:r w:rsidR="00C567DA">
              <w:rPr>
                <w:noProof/>
                <w:webHidden/>
              </w:rPr>
              <w:fldChar w:fldCharType="separate"/>
            </w:r>
            <w:r w:rsidR="00B06AD8">
              <w:rPr>
                <w:noProof/>
                <w:webHidden/>
              </w:rPr>
              <w:t>25</w:t>
            </w:r>
            <w:r w:rsidR="00C567DA">
              <w:rPr>
                <w:noProof/>
                <w:webHidden/>
              </w:rPr>
              <w:fldChar w:fldCharType="end"/>
            </w:r>
          </w:hyperlink>
        </w:p>
        <w:p w:rsidR="00093F2C" w:rsidRDefault="00C567DA">
          <w:r>
            <w:rPr>
              <w:b/>
              <w:bCs/>
              <w:lang w:val="cs-CZ"/>
            </w:rPr>
            <w:fldChar w:fldCharType="end"/>
          </w:r>
        </w:p>
      </w:sdtContent>
    </w:sdt>
    <w:p w:rsidR="00C82898" w:rsidRPr="00AD0BCD" w:rsidRDefault="00C82898"/>
    <w:p w:rsidR="00AD0BCD" w:rsidRDefault="00AD0BCD">
      <w:bookmarkStart w:id="0" w:name="_GoBack"/>
      <w:bookmarkEnd w:id="0"/>
    </w:p>
    <w:p w:rsidR="00DC4440" w:rsidRDefault="00DC4440">
      <w:r>
        <w:br w:type="page"/>
      </w:r>
    </w:p>
    <w:p w:rsidR="00AD0BCD" w:rsidRDefault="00AD0BCD" w:rsidP="00AD0BCD">
      <w:pPr>
        <w:pStyle w:val="Nadpis1"/>
        <w:rPr>
          <w:rFonts w:asciiTheme="minorHAnsi" w:hAnsiTheme="minorHAnsi"/>
        </w:rPr>
      </w:pPr>
      <w:bookmarkStart w:id="1" w:name="_Toc536769633"/>
      <w:r w:rsidRPr="00AD0BCD">
        <w:rPr>
          <w:rFonts w:asciiTheme="minorHAnsi" w:hAnsiTheme="minorHAnsi"/>
        </w:rPr>
        <w:lastRenderedPageBreak/>
        <w:t>RESUME</w:t>
      </w:r>
      <w:bookmarkEnd w:id="1"/>
    </w:p>
    <w:p w:rsidR="00A753B4" w:rsidRPr="004C0BA9" w:rsidRDefault="00A753B4"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rsidR="00E157A3" w:rsidRDefault="00093F2C"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r w:rsidRPr="004C0BA9">
        <w:rPr>
          <w:rFonts w:asciiTheme="minorHAnsi" w:hAnsiTheme="minorHAnsi" w:cs="ITCBookmanEE"/>
          <w:color w:val="231F20"/>
          <w:sz w:val="22"/>
          <w:szCs w:val="22"/>
        </w:rPr>
        <w:t xml:space="preserve">Analýza </w:t>
      </w:r>
      <w:r w:rsidR="00A753B4" w:rsidRPr="004C0BA9">
        <w:rPr>
          <w:rFonts w:asciiTheme="minorHAnsi" w:hAnsiTheme="minorHAnsi" w:cs="ITCBookmanEE"/>
          <w:color w:val="231F20"/>
          <w:sz w:val="22"/>
          <w:szCs w:val="22"/>
        </w:rPr>
        <w:t>právnych predpisov a spracovaných dokumento</w:t>
      </w:r>
      <w:r w:rsidR="009B16A5">
        <w:rPr>
          <w:rFonts w:asciiTheme="minorHAnsi" w:hAnsiTheme="minorHAnsi" w:cs="ITCBookmanEE"/>
          <w:color w:val="231F20"/>
          <w:sz w:val="22"/>
          <w:szCs w:val="22"/>
        </w:rPr>
        <w:t>v</w:t>
      </w:r>
      <w:r w:rsidR="00A753B4" w:rsidRPr="004C0BA9">
        <w:rPr>
          <w:rFonts w:asciiTheme="minorHAnsi" w:hAnsiTheme="minorHAnsi" w:cs="ITCBookmanEE"/>
          <w:color w:val="231F20"/>
          <w:sz w:val="22"/>
          <w:szCs w:val="22"/>
        </w:rPr>
        <w:t xml:space="preserve"> na regionálnej úrovni </w:t>
      </w:r>
      <w:r w:rsidRPr="004C0BA9">
        <w:rPr>
          <w:rFonts w:asciiTheme="minorHAnsi" w:hAnsiTheme="minorHAnsi" w:cs="ITCBookmanEE"/>
          <w:color w:val="231F20"/>
          <w:sz w:val="22"/>
          <w:szCs w:val="22"/>
        </w:rPr>
        <w:t xml:space="preserve">sa realizovala v rámci projektu Zamestnávanie 50+ na regionálnej úrovni. Projekt je financovaný z Operačného programu Efektívna verejná správa. Projekt Zamestnávanie 50+ na regionálnej úrovni realizuje Centrum vzdelávania neziskových organizácií (CVNO), so sídlom v Banskej Bystrici. Partnerom projektu je Občianske združenie Vidiecky parlament na Slovensku (VIPA SK). Neformálnymi partnermi projektu sú MAS Hontiansko </w:t>
      </w:r>
      <w:r w:rsidR="001B6558">
        <w:rPr>
          <w:rFonts w:asciiTheme="minorHAnsi" w:hAnsiTheme="minorHAnsi" w:cs="ITCBookmanEE"/>
          <w:color w:val="231F20"/>
          <w:sz w:val="22"/>
          <w:szCs w:val="22"/>
        </w:rPr>
        <w:t>-</w:t>
      </w:r>
      <w:r w:rsidRPr="004C0BA9">
        <w:rPr>
          <w:rFonts w:asciiTheme="minorHAnsi" w:hAnsiTheme="minorHAnsi" w:cs="ITCBookmanEE"/>
          <w:color w:val="231F20"/>
          <w:sz w:val="22"/>
          <w:szCs w:val="22"/>
        </w:rPr>
        <w:t xml:space="preserve"> Dobronivské partnerstvo, MAS Hontiansko - Novohradské partnerstvo a MAS Malohont.</w:t>
      </w:r>
      <w:r w:rsidR="00EE4354">
        <w:rPr>
          <w:rFonts w:asciiTheme="minorHAnsi" w:hAnsiTheme="minorHAnsi" w:cs="ITCBookmanEE"/>
          <w:color w:val="231F20"/>
          <w:sz w:val="22"/>
          <w:szCs w:val="22"/>
        </w:rPr>
        <w:t xml:space="preserve">  </w:t>
      </w:r>
    </w:p>
    <w:p w:rsidR="00D261D6" w:rsidRDefault="009B16A5"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r>
        <w:rPr>
          <w:rFonts w:asciiTheme="minorHAnsi" w:hAnsiTheme="minorHAnsi" w:cs="ITCBookmanEE"/>
          <w:color w:val="231F20"/>
          <w:sz w:val="22"/>
          <w:szCs w:val="22"/>
        </w:rPr>
        <w:t>Vypracovaný d</w:t>
      </w:r>
      <w:r w:rsidR="004A13B6">
        <w:rPr>
          <w:rFonts w:asciiTheme="minorHAnsi" w:hAnsiTheme="minorHAnsi" w:cs="ITCBookmanEE"/>
          <w:color w:val="231F20"/>
          <w:sz w:val="22"/>
          <w:szCs w:val="22"/>
        </w:rPr>
        <w:t>okument</w:t>
      </w:r>
      <w:r w:rsidR="00EE4354">
        <w:rPr>
          <w:rFonts w:asciiTheme="minorHAnsi" w:hAnsiTheme="minorHAnsi" w:cs="ITCBookmanEE"/>
          <w:color w:val="231F20"/>
          <w:sz w:val="22"/>
          <w:szCs w:val="22"/>
        </w:rPr>
        <w:t xml:space="preserve"> </w:t>
      </w:r>
      <w:r w:rsidR="000826CE">
        <w:rPr>
          <w:rFonts w:asciiTheme="minorHAnsi" w:hAnsiTheme="minorHAnsi" w:cs="ITCBookmanEE"/>
          <w:color w:val="231F20"/>
          <w:sz w:val="22"/>
          <w:szCs w:val="22"/>
        </w:rPr>
        <w:t xml:space="preserve">obsahuje </w:t>
      </w:r>
      <w:r w:rsidR="00E157A3">
        <w:rPr>
          <w:rFonts w:asciiTheme="minorHAnsi" w:hAnsiTheme="minorHAnsi" w:cs="ITCBookmanEE"/>
          <w:color w:val="231F20"/>
          <w:sz w:val="22"/>
          <w:szCs w:val="22"/>
        </w:rPr>
        <w:t>metodik</w:t>
      </w:r>
      <w:r w:rsidR="000826CE">
        <w:rPr>
          <w:rFonts w:asciiTheme="minorHAnsi" w:hAnsiTheme="minorHAnsi" w:cs="ITCBookmanEE"/>
          <w:color w:val="231F20"/>
          <w:sz w:val="22"/>
          <w:szCs w:val="22"/>
        </w:rPr>
        <w:t>u</w:t>
      </w:r>
      <w:r w:rsidR="00F8522F">
        <w:rPr>
          <w:rFonts w:asciiTheme="minorHAnsi" w:hAnsiTheme="minorHAnsi" w:cs="ITCBookmanEE"/>
          <w:color w:val="231F20"/>
          <w:sz w:val="22"/>
          <w:szCs w:val="22"/>
        </w:rPr>
        <w:t xml:space="preserve"> spracovania dokumentu</w:t>
      </w:r>
      <w:r w:rsidR="000826CE">
        <w:rPr>
          <w:rFonts w:asciiTheme="minorHAnsi" w:hAnsiTheme="minorHAnsi" w:cs="ITCBookmanEE"/>
          <w:color w:val="231F20"/>
          <w:sz w:val="22"/>
          <w:szCs w:val="22"/>
        </w:rPr>
        <w:t xml:space="preserve">, ako aj </w:t>
      </w:r>
      <w:r w:rsidR="00EE4354">
        <w:rPr>
          <w:rFonts w:asciiTheme="minorHAnsi" w:hAnsiTheme="minorHAnsi" w:cs="ITCBookmanEE"/>
          <w:color w:val="231F20"/>
          <w:sz w:val="22"/>
          <w:szCs w:val="22"/>
        </w:rPr>
        <w:t xml:space="preserve">analýzu </w:t>
      </w:r>
      <w:r w:rsidR="005D03B2">
        <w:rPr>
          <w:rFonts w:asciiTheme="minorHAnsi" w:hAnsiTheme="minorHAnsi" w:cs="ITCBookmanEE"/>
          <w:color w:val="231F20"/>
          <w:sz w:val="22"/>
          <w:szCs w:val="22"/>
        </w:rPr>
        <w:t xml:space="preserve">platných </w:t>
      </w:r>
      <w:r w:rsidR="00EE4354">
        <w:rPr>
          <w:rFonts w:asciiTheme="minorHAnsi" w:hAnsiTheme="minorHAnsi" w:cs="ITCBookmanEE"/>
          <w:color w:val="231F20"/>
          <w:sz w:val="22"/>
          <w:szCs w:val="22"/>
        </w:rPr>
        <w:t>legislatívnych a programových rámcov na</w:t>
      </w:r>
      <w:r w:rsidR="006F3A2D">
        <w:rPr>
          <w:rFonts w:asciiTheme="minorHAnsi" w:hAnsiTheme="minorHAnsi" w:cs="ITCBookmanEE"/>
          <w:color w:val="231F20"/>
          <w:sz w:val="22"/>
          <w:szCs w:val="22"/>
        </w:rPr>
        <w:t xml:space="preserve"> národnej</w:t>
      </w:r>
      <w:r w:rsidR="00B06005">
        <w:rPr>
          <w:rFonts w:asciiTheme="minorHAnsi" w:hAnsiTheme="minorHAnsi" w:cs="ITCBookmanEE"/>
          <w:color w:val="231F20"/>
          <w:sz w:val="22"/>
          <w:szCs w:val="22"/>
        </w:rPr>
        <w:t xml:space="preserve"> úrovni</w:t>
      </w:r>
      <w:r w:rsidR="0095424E">
        <w:rPr>
          <w:rFonts w:asciiTheme="minorHAnsi" w:hAnsiTheme="minorHAnsi" w:cs="ITCBookmanEE"/>
          <w:color w:val="231F20"/>
          <w:sz w:val="22"/>
          <w:szCs w:val="22"/>
        </w:rPr>
        <w:t>, od  ktorej sa musia odvodzovať nižšie stupne</w:t>
      </w:r>
      <w:r w:rsidR="00B06005">
        <w:rPr>
          <w:rFonts w:asciiTheme="minorHAnsi" w:hAnsiTheme="minorHAnsi" w:cs="ITCBookmanEE"/>
          <w:color w:val="231F20"/>
          <w:sz w:val="22"/>
          <w:szCs w:val="22"/>
        </w:rPr>
        <w:t xml:space="preserve"> tak </w:t>
      </w:r>
      <w:r w:rsidR="0095424E">
        <w:rPr>
          <w:rFonts w:asciiTheme="minorHAnsi" w:hAnsiTheme="minorHAnsi" w:cs="ITCBookmanEE"/>
          <w:color w:val="231F20"/>
          <w:sz w:val="22"/>
          <w:szCs w:val="22"/>
        </w:rPr>
        <w:t>na</w:t>
      </w:r>
      <w:r w:rsidR="006F3A2D">
        <w:rPr>
          <w:rFonts w:asciiTheme="minorHAnsi" w:hAnsiTheme="minorHAnsi" w:cs="ITCBookmanEE"/>
          <w:color w:val="231F20"/>
          <w:sz w:val="22"/>
          <w:szCs w:val="22"/>
        </w:rPr>
        <w:t> regionálnej</w:t>
      </w:r>
      <w:r w:rsidR="001B6558">
        <w:rPr>
          <w:rFonts w:asciiTheme="minorHAnsi" w:hAnsiTheme="minorHAnsi" w:cs="ITCBookmanEE"/>
          <w:color w:val="231F20"/>
          <w:sz w:val="22"/>
          <w:szCs w:val="22"/>
        </w:rPr>
        <w:t>,</w:t>
      </w:r>
      <w:r w:rsidR="006F3A2D">
        <w:rPr>
          <w:rFonts w:asciiTheme="minorHAnsi" w:hAnsiTheme="minorHAnsi" w:cs="ITCBookmanEE"/>
          <w:color w:val="231F20"/>
          <w:sz w:val="22"/>
          <w:szCs w:val="22"/>
        </w:rPr>
        <w:t xml:space="preserve"> </w:t>
      </w:r>
      <w:r w:rsidR="00B06005">
        <w:rPr>
          <w:rFonts w:asciiTheme="minorHAnsi" w:hAnsiTheme="minorHAnsi" w:cs="ITCBookmanEE"/>
          <w:color w:val="231F20"/>
          <w:sz w:val="22"/>
          <w:szCs w:val="22"/>
        </w:rPr>
        <w:t xml:space="preserve">ako aj na lokálnej </w:t>
      </w:r>
      <w:r w:rsidR="006F3A2D">
        <w:rPr>
          <w:rFonts w:asciiTheme="minorHAnsi" w:hAnsiTheme="minorHAnsi" w:cs="ITCBookmanEE"/>
          <w:color w:val="231F20"/>
          <w:sz w:val="22"/>
          <w:szCs w:val="22"/>
        </w:rPr>
        <w:t>úrovni</w:t>
      </w:r>
      <w:r w:rsidR="00B06005">
        <w:rPr>
          <w:rFonts w:asciiTheme="minorHAnsi" w:hAnsiTheme="minorHAnsi" w:cs="ITCBookmanEE"/>
          <w:color w:val="231F20"/>
          <w:sz w:val="22"/>
          <w:szCs w:val="22"/>
        </w:rPr>
        <w:t>. Ďalej obsahuje</w:t>
      </w:r>
      <w:r w:rsidR="00E157A3">
        <w:rPr>
          <w:rFonts w:asciiTheme="minorHAnsi" w:hAnsiTheme="minorHAnsi" w:cs="ITCBookmanEE"/>
          <w:color w:val="231F20"/>
          <w:sz w:val="22"/>
          <w:szCs w:val="22"/>
        </w:rPr>
        <w:t xml:space="preserve"> podrobnú analýzu rozvojových strategických, programových a plánovacích dokumentov so zameraním na zamestnávanie osôb starších ako 50 rokov </w:t>
      </w:r>
      <w:r w:rsidR="004A13B6">
        <w:rPr>
          <w:rFonts w:asciiTheme="minorHAnsi" w:hAnsiTheme="minorHAnsi" w:cs="ITCBookmanEE"/>
          <w:color w:val="231F20"/>
          <w:sz w:val="22"/>
          <w:szCs w:val="22"/>
        </w:rPr>
        <w:t>veku</w:t>
      </w:r>
      <w:r w:rsidR="0095424E">
        <w:rPr>
          <w:rFonts w:asciiTheme="minorHAnsi" w:hAnsiTheme="minorHAnsi" w:cs="ITCBookmanEE"/>
          <w:color w:val="231F20"/>
          <w:sz w:val="22"/>
          <w:szCs w:val="22"/>
        </w:rPr>
        <w:t xml:space="preserve"> </w:t>
      </w:r>
      <w:r w:rsidR="00B06005">
        <w:rPr>
          <w:rFonts w:asciiTheme="minorHAnsi" w:hAnsiTheme="minorHAnsi" w:cs="ITCBookmanEE"/>
          <w:color w:val="231F20"/>
          <w:sz w:val="22"/>
          <w:szCs w:val="22"/>
        </w:rPr>
        <w:t>na národnej úrovni a na regionálnej a lokálnej úrovni</w:t>
      </w:r>
      <w:r w:rsidR="004A13B6">
        <w:rPr>
          <w:rFonts w:asciiTheme="minorHAnsi" w:hAnsiTheme="minorHAnsi" w:cs="ITCBookmanEE"/>
          <w:color w:val="231F20"/>
          <w:sz w:val="22"/>
          <w:szCs w:val="22"/>
        </w:rPr>
        <w:t xml:space="preserve"> </w:t>
      </w:r>
      <w:r w:rsidR="00E157A3">
        <w:rPr>
          <w:rFonts w:asciiTheme="minorHAnsi" w:hAnsiTheme="minorHAnsi" w:cs="ITCBookmanEE"/>
          <w:color w:val="231F20"/>
          <w:sz w:val="22"/>
          <w:szCs w:val="22"/>
        </w:rPr>
        <w:t xml:space="preserve">na území Banskobystrického kraja ako celku a na </w:t>
      </w:r>
      <w:r w:rsidR="005D03B2">
        <w:rPr>
          <w:rFonts w:asciiTheme="minorHAnsi" w:hAnsiTheme="minorHAnsi" w:cs="ITCBookmanEE"/>
          <w:color w:val="231F20"/>
          <w:sz w:val="22"/>
          <w:szCs w:val="22"/>
        </w:rPr>
        <w:t xml:space="preserve">vybraných územiach troch </w:t>
      </w:r>
      <w:r w:rsidR="00956909">
        <w:rPr>
          <w:rFonts w:asciiTheme="minorHAnsi" w:hAnsiTheme="minorHAnsi" w:cs="ITCBookmanEE"/>
          <w:color w:val="231F20"/>
          <w:sz w:val="22"/>
          <w:szCs w:val="22"/>
        </w:rPr>
        <w:t xml:space="preserve">partnerských </w:t>
      </w:r>
      <w:r w:rsidR="005D03B2">
        <w:rPr>
          <w:rFonts w:asciiTheme="minorHAnsi" w:hAnsiTheme="minorHAnsi" w:cs="ITCBookmanEE"/>
          <w:color w:val="231F20"/>
          <w:sz w:val="22"/>
          <w:szCs w:val="22"/>
        </w:rPr>
        <w:t>miestnych akčných skupín a</w:t>
      </w:r>
      <w:r w:rsidR="00B06005">
        <w:rPr>
          <w:rFonts w:asciiTheme="minorHAnsi" w:hAnsiTheme="minorHAnsi" w:cs="ITCBookmanEE"/>
          <w:color w:val="231F20"/>
          <w:sz w:val="22"/>
          <w:szCs w:val="22"/>
        </w:rPr>
        <w:t xml:space="preserve"> </w:t>
      </w:r>
      <w:r w:rsidR="005D03B2">
        <w:rPr>
          <w:rFonts w:asciiTheme="minorHAnsi" w:hAnsiTheme="minorHAnsi" w:cs="ITCBookmanEE"/>
          <w:color w:val="231F20"/>
          <w:sz w:val="22"/>
          <w:szCs w:val="22"/>
        </w:rPr>
        <w:t xml:space="preserve"> susediacich územiach</w:t>
      </w:r>
      <w:r w:rsidR="0095424E">
        <w:rPr>
          <w:rFonts w:asciiTheme="minorHAnsi" w:hAnsiTheme="minorHAnsi" w:cs="ITCBookmanEE"/>
          <w:color w:val="231F20"/>
          <w:sz w:val="22"/>
          <w:szCs w:val="22"/>
        </w:rPr>
        <w:t xml:space="preserve">, ktorých obce sú členmi príslušných MAS, </w:t>
      </w:r>
      <w:r w:rsidR="00F27D7C">
        <w:rPr>
          <w:rFonts w:asciiTheme="minorHAnsi" w:hAnsiTheme="minorHAnsi" w:cs="ITCBookmanEE"/>
          <w:color w:val="231F20"/>
          <w:sz w:val="22"/>
          <w:szCs w:val="22"/>
        </w:rPr>
        <w:t xml:space="preserve">vrátane </w:t>
      </w:r>
      <w:r w:rsidR="00145A1F">
        <w:rPr>
          <w:rFonts w:asciiTheme="minorHAnsi" w:hAnsiTheme="minorHAnsi" w:cs="ITCBookmanEE"/>
          <w:color w:val="231F20"/>
          <w:sz w:val="22"/>
          <w:szCs w:val="22"/>
        </w:rPr>
        <w:t>územia všetkých najmenej rozvinutých</w:t>
      </w:r>
      <w:r w:rsidR="00F27D7C">
        <w:rPr>
          <w:rFonts w:asciiTheme="minorHAnsi" w:hAnsiTheme="minorHAnsi" w:cs="ITCBookmanEE"/>
          <w:color w:val="231F20"/>
          <w:sz w:val="22"/>
          <w:szCs w:val="22"/>
        </w:rPr>
        <w:t xml:space="preserve"> okresov </w:t>
      </w:r>
      <w:r w:rsidR="00145A1F">
        <w:rPr>
          <w:rFonts w:asciiTheme="minorHAnsi" w:hAnsiTheme="minorHAnsi" w:cs="ITCBookmanEE"/>
          <w:color w:val="231F20"/>
          <w:sz w:val="22"/>
          <w:szCs w:val="22"/>
        </w:rPr>
        <w:t xml:space="preserve">kraja </w:t>
      </w:r>
      <w:r w:rsidR="005D03B2">
        <w:rPr>
          <w:rFonts w:asciiTheme="minorHAnsi" w:hAnsiTheme="minorHAnsi" w:cs="ITCBookmanEE"/>
          <w:color w:val="231F20"/>
          <w:sz w:val="22"/>
          <w:szCs w:val="22"/>
        </w:rPr>
        <w:t xml:space="preserve">vzhľadom na presah </w:t>
      </w:r>
      <w:r w:rsidR="00145A1F">
        <w:rPr>
          <w:rFonts w:asciiTheme="minorHAnsi" w:hAnsiTheme="minorHAnsi" w:cs="ITCBookmanEE"/>
          <w:color w:val="231F20"/>
          <w:sz w:val="22"/>
          <w:szCs w:val="22"/>
        </w:rPr>
        <w:t xml:space="preserve">rozvojových </w:t>
      </w:r>
      <w:r w:rsidR="005D03B2">
        <w:rPr>
          <w:rFonts w:asciiTheme="minorHAnsi" w:hAnsiTheme="minorHAnsi" w:cs="ITCBookmanEE"/>
          <w:color w:val="231F20"/>
          <w:sz w:val="22"/>
          <w:szCs w:val="22"/>
        </w:rPr>
        <w:t xml:space="preserve">aktivít </w:t>
      </w:r>
      <w:r w:rsidR="00145A1F">
        <w:rPr>
          <w:rFonts w:asciiTheme="minorHAnsi" w:hAnsiTheme="minorHAnsi" w:cs="ITCBookmanEE"/>
          <w:color w:val="231F20"/>
          <w:sz w:val="22"/>
          <w:szCs w:val="22"/>
        </w:rPr>
        <w:t>a pohyb obyvateľstva</w:t>
      </w:r>
      <w:r w:rsidR="00E157A3">
        <w:rPr>
          <w:rFonts w:asciiTheme="minorHAnsi" w:hAnsiTheme="minorHAnsi" w:cs="ITCBookmanEE"/>
          <w:color w:val="231F20"/>
          <w:sz w:val="22"/>
          <w:szCs w:val="22"/>
        </w:rPr>
        <w:t>.</w:t>
      </w:r>
      <w:r w:rsidR="004A13B6">
        <w:rPr>
          <w:rFonts w:asciiTheme="minorHAnsi" w:hAnsiTheme="minorHAnsi" w:cs="ITCBookmanEE"/>
          <w:color w:val="231F20"/>
          <w:sz w:val="22"/>
          <w:szCs w:val="22"/>
        </w:rPr>
        <w:t xml:space="preserve"> </w:t>
      </w:r>
      <w:r w:rsidR="00956909">
        <w:rPr>
          <w:rFonts w:asciiTheme="minorHAnsi" w:hAnsiTheme="minorHAnsi" w:cs="ITCBookmanEE"/>
          <w:color w:val="231F20"/>
          <w:sz w:val="22"/>
          <w:szCs w:val="22"/>
        </w:rPr>
        <w:t>Analyzovaná bola</w:t>
      </w:r>
      <w:r w:rsidR="00145A1F">
        <w:rPr>
          <w:rFonts w:asciiTheme="minorHAnsi" w:hAnsiTheme="minorHAnsi" w:cs="ITCBookmanEE"/>
          <w:color w:val="231F20"/>
          <w:sz w:val="22"/>
          <w:szCs w:val="22"/>
        </w:rPr>
        <w:t xml:space="preserve"> súvisiaca</w:t>
      </w:r>
      <w:r w:rsidR="004A13B6">
        <w:rPr>
          <w:rFonts w:asciiTheme="minorHAnsi" w:hAnsiTheme="minorHAnsi" w:cs="ITCBookmanEE"/>
          <w:color w:val="231F20"/>
          <w:sz w:val="22"/>
          <w:szCs w:val="22"/>
        </w:rPr>
        <w:t xml:space="preserve"> legislatíva a</w:t>
      </w:r>
      <w:r w:rsidR="00F27D7C">
        <w:rPr>
          <w:rFonts w:asciiTheme="minorHAnsi" w:hAnsiTheme="minorHAnsi" w:cs="ITCBookmanEE"/>
          <w:color w:val="231F20"/>
          <w:sz w:val="22"/>
          <w:szCs w:val="22"/>
        </w:rPr>
        <w:t xml:space="preserve"> schválené </w:t>
      </w:r>
      <w:r w:rsidR="004A13B6">
        <w:rPr>
          <w:rFonts w:asciiTheme="minorHAnsi" w:hAnsiTheme="minorHAnsi" w:cs="ITCBookmanEE"/>
          <w:color w:val="231F20"/>
          <w:sz w:val="22"/>
          <w:szCs w:val="22"/>
        </w:rPr>
        <w:t>verejne dostupné</w:t>
      </w:r>
      <w:r w:rsidR="00F27D7C">
        <w:rPr>
          <w:rFonts w:asciiTheme="minorHAnsi" w:hAnsiTheme="minorHAnsi" w:cs="ITCBookmanEE"/>
          <w:color w:val="231F20"/>
          <w:sz w:val="22"/>
          <w:szCs w:val="22"/>
        </w:rPr>
        <w:t xml:space="preserve"> rozvojové</w:t>
      </w:r>
      <w:r w:rsidR="00B06005">
        <w:rPr>
          <w:rFonts w:asciiTheme="minorHAnsi" w:hAnsiTheme="minorHAnsi" w:cs="ITCBookmanEE"/>
          <w:color w:val="231F20"/>
          <w:sz w:val="22"/>
          <w:szCs w:val="22"/>
        </w:rPr>
        <w:t xml:space="preserve"> strategické, programové </w:t>
      </w:r>
      <w:r w:rsidR="00F27D7C">
        <w:rPr>
          <w:rFonts w:asciiTheme="minorHAnsi" w:hAnsiTheme="minorHAnsi" w:cs="ITCBookmanEE"/>
          <w:color w:val="231F20"/>
          <w:sz w:val="22"/>
          <w:szCs w:val="22"/>
        </w:rPr>
        <w:t xml:space="preserve"> a plánovacie</w:t>
      </w:r>
      <w:r w:rsidR="004A13B6">
        <w:rPr>
          <w:rFonts w:asciiTheme="minorHAnsi" w:hAnsiTheme="minorHAnsi" w:cs="ITCBookmanEE"/>
          <w:color w:val="231F20"/>
          <w:sz w:val="22"/>
          <w:szCs w:val="22"/>
        </w:rPr>
        <w:t xml:space="preserve"> dokumenty </w:t>
      </w:r>
      <w:r w:rsidR="00F27D7C">
        <w:rPr>
          <w:rFonts w:asciiTheme="minorHAnsi" w:hAnsiTheme="minorHAnsi" w:cs="ITCBookmanEE"/>
          <w:color w:val="231F20"/>
          <w:sz w:val="22"/>
          <w:szCs w:val="22"/>
        </w:rPr>
        <w:t>štátnej</w:t>
      </w:r>
      <w:r w:rsidR="004A13B6">
        <w:rPr>
          <w:rFonts w:asciiTheme="minorHAnsi" w:hAnsiTheme="minorHAnsi" w:cs="ITCBookmanEE"/>
          <w:color w:val="231F20"/>
          <w:sz w:val="22"/>
          <w:szCs w:val="22"/>
        </w:rPr>
        <w:t xml:space="preserve"> správy</w:t>
      </w:r>
      <w:r w:rsidR="00F27D7C">
        <w:rPr>
          <w:rFonts w:asciiTheme="minorHAnsi" w:hAnsiTheme="minorHAnsi" w:cs="ITCBookmanEE"/>
          <w:color w:val="231F20"/>
          <w:sz w:val="22"/>
          <w:szCs w:val="22"/>
        </w:rPr>
        <w:t xml:space="preserve">, samosprávy </w:t>
      </w:r>
      <w:r w:rsidR="004A13B6">
        <w:rPr>
          <w:rFonts w:asciiTheme="minorHAnsi" w:hAnsiTheme="minorHAnsi" w:cs="ITCBookmanEE"/>
          <w:color w:val="231F20"/>
          <w:sz w:val="22"/>
          <w:szCs w:val="22"/>
        </w:rPr>
        <w:t xml:space="preserve"> a miestnych akčných skupín</w:t>
      </w:r>
      <w:r w:rsidR="00B06005" w:rsidRPr="00B06005">
        <w:rPr>
          <w:rFonts w:asciiTheme="minorHAnsi" w:hAnsiTheme="minorHAnsi" w:cs="ITCBookmanEE"/>
          <w:color w:val="231F20"/>
          <w:sz w:val="22"/>
          <w:szCs w:val="22"/>
        </w:rPr>
        <w:t xml:space="preserve"> </w:t>
      </w:r>
      <w:r w:rsidR="00B06005">
        <w:rPr>
          <w:rFonts w:asciiTheme="minorHAnsi" w:hAnsiTheme="minorHAnsi" w:cs="ITCBookmanEE"/>
          <w:color w:val="231F20"/>
          <w:sz w:val="22"/>
          <w:szCs w:val="22"/>
        </w:rPr>
        <w:t>platné v dobe realizácie projektu, t. j. v r. 2018.</w:t>
      </w:r>
      <w:r w:rsidR="00145A1F">
        <w:rPr>
          <w:rFonts w:asciiTheme="minorHAnsi" w:hAnsiTheme="minorHAnsi" w:cs="ITCBookmanEE"/>
          <w:color w:val="231F20"/>
          <w:sz w:val="22"/>
          <w:szCs w:val="22"/>
        </w:rPr>
        <w:t xml:space="preserve"> </w:t>
      </w:r>
      <w:r w:rsidR="00B06005">
        <w:rPr>
          <w:rFonts w:asciiTheme="minorHAnsi" w:hAnsiTheme="minorHAnsi" w:cs="ITCBookmanEE"/>
          <w:color w:val="231F20"/>
          <w:sz w:val="22"/>
          <w:szCs w:val="22"/>
        </w:rPr>
        <w:t>D</w:t>
      </w:r>
      <w:r w:rsidR="00145A1F">
        <w:rPr>
          <w:rFonts w:asciiTheme="minorHAnsi" w:hAnsiTheme="minorHAnsi" w:cs="ITCBookmanEE"/>
          <w:color w:val="231F20"/>
          <w:sz w:val="22"/>
          <w:szCs w:val="22"/>
        </w:rPr>
        <w:t>o dokumentu boli z</w:t>
      </w:r>
      <w:r w:rsidR="00A071B6">
        <w:rPr>
          <w:rFonts w:asciiTheme="minorHAnsi" w:hAnsiTheme="minorHAnsi" w:cs="ITCBookmanEE"/>
          <w:color w:val="231F20"/>
          <w:sz w:val="22"/>
          <w:szCs w:val="22"/>
        </w:rPr>
        <w:t>apracovan</w:t>
      </w:r>
      <w:r w:rsidR="00145A1F">
        <w:rPr>
          <w:rFonts w:asciiTheme="minorHAnsi" w:hAnsiTheme="minorHAnsi" w:cs="ITCBookmanEE"/>
          <w:color w:val="231F20"/>
          <w:sz w:val="22"/>
          <w:szCs w:val="22"/>
        </w:rPr>
        <w:t xml:space="preserve">é aj údaje a </w:t>
      </w:r>
      <w:r w:rsidR="00A071B6">
        <w:rPr>
          <w:rFonts w:asciiTheme="minorHAnsi" w:hAnsiTheme="minorHAnsi" w:cs="ITCBookmanEE"/>
          <w:color w:val="231F20"/>
          <w:sz w:val="22"/>
          <w:szCs w:val="22"/>
        </w:rPr>
        <w:t xml:space="preserve"> informáci</w:t>
      </w:r>
      <w:r w:rsidR="00145A1F">
        <w:rPr>
          <w:rFonts w:asciiTheme="minorHAnsi" w:hAnsiTheme="minorHAnsi" w:cs="ITCBookmanEE"/>
          <w:color w:val="231F20"/>
          <w:sz w:val="22"/>
          <w:szCs w:val="22"/>
        </w:rPr>
        <w:t>e</w:t>
      </w:r>
      <w:r w:rsidR="00A071B6">
        <w:rPr>
          <w:rFonts w:asciiTheme="minorHAnsi" w:hAnsiTheme="minorHAnsi" w:cs="ITCBookmanEE"/>
          <w:color w:val="231F20"/>
          <w:sz w:val="22"/>
          <w:szCs w:val="22"/>
        </w:rPr>
        <w:t xml:space="preserve"> získan</w:t>
      </w:r>
      <w:r w:rsidR="00145A1F">
        <w:rPr>
          <w:rFonts w:asciiTheme="minorHAnsi" w:hAnsiTheme="minorHAnsi" w:cs="ITCBookmanEE"/>
          <w:color w:val="231F20"/>
          <w:sz w:val="22"/>
          <w:szCs w:val="22"/>
        </w:rPr>
        <w:t>é</w:t>
      </w:r>
      <w:r w:rsidR="00A071B6">
        <w:rPr>
          <w:rFonts w:asciiTheme="minorHAnsi" w:hAnsiTheme="minorHAnsi" w:cs="ITCBookmanEE"/>
          <w:color w:val="231F20"/>
          <w:sz w:val="22"/>
          <w:szCs w:val="22"/>
        </w:rPr>
        <w:t xml:space="preserve"> počas </w:t>
      </w:r>
      <w:r w:rsidR="00D03F19">
        <w:rPr>
          <w:rFonts w:asciiTheme="minorHAnsi" w:hAnsiTheme="minorHAnsi" w:cs="ITCBookmanEE"/>
          <w:color w:val="231F20"/>
          <w:sz w:val="22"/>
          <w:szCs w:val="22"/>
        </w:rPr>
        <w:t>konzultáci</w:t>
      </w:r>
      <w:r w:rsidR="00A071B6">
        <w:rPr>
          <w:rFonts w:asciiTheme="minorHAnsi" w:hAnsiTheme="minorHAnsi" w:cs="ITCBookmanEE"/>
          <w:color w:val="231F20"/>
          <w:sz w:val="22"/>
          <w:szCs w:val="22"/>
        </w:rPr>
        <w:t>í</w:t>
      </w:r>
      <w:r w:rsidR="00D03F19">
        <w:rPr>
          <w:rFonts w:asciiTheme="minorHAnsi" w:hAnsiTheme="minorHAnsi" w:cs="ITCBookmanEE"/>
          <w:color w:val="231F20"/>
          <w:sz w:val="22"/>
          <w:szCs w:val="22"/>
        </w:rPr>
        <w:t xml:space="preserve"> s odborníkmi </w:t>
      </w:r>
      <w:r w:rsidR="00145A1F">
        <w:rPr>
          <w:rFonts w:asciiTheme="minorHAnsi" w:hAnsiTheme="minorHAnsi" w:cs="ITCBookmanEE"/>
          <w:color w:val="231F20"/>
          <w:sz w:val="22"/>
          <w:szCs w:val="22"/>
        </w:rPr>
        <w:t xml:space="preserve">verejnej správy </w:t>
      </w:r>
      <w:r w:rsidR="00D03F19">
        <w:rPr>
          <w:rFonts w:asciiTheme="minorHAnsi" w:hAnsiTheme="minorHAnsi" w:cs="ITCBookmanEE"/>
          <w:color w:val="231F20"/>
          <w:sz w:val="22"/>
          <w:szCs w:val="22"/>
        </w:rPr>
        <w:t xml:space="preserve">na analyzovanú tému. Špeciálne poďakovanie patrí pani Ing. Daniele </w:t>
      </w:r>
      <w:proofErr w:type="spellStart"/>
      <w:r w:rsidR="00D03F19">
        <w:rPr>
          <w:rFonts w:asciiTheme="minorHAnsi" w:hAnsiTheme="minorHAnsi" w:cs="ITCBookmanEE"/>
          <w:color w:val="231F20"/>
          <w:sz w:val="22"/>
          <w:szCs w:val="22"/>
        </w:rPr>
        <w:t>Bímovej</w:t>
      </w:r>
      <w:proofErr w:type="spellEnd"/>
      <w:r w:rsidR="00D03F19">
        <w:rPr>
          <w:rFonts w:asciiTheme="minorHAnsi" w:hAnsiTheme="minorHAnsi" w:cs="ITCBookmanEE"/>
          <w:color w:val="231F20"/>
          <w:sz w:val="22"/>
          <w:szCs w:val="22"/>
        </w:rPr>
        <w:t xml:space="preserve"> za cenné rady</w:t>
      </w:r>
      <w:r w:rsidR="00171FB2">
        <w:rPr>
          <w:rFonts w:asciiTheme="minorHAnsi" w:hAnsiTheme="minorHAnsi" w:cs="ITCBookmanEE"/>
          <w:color w:val="231F20"/>
          <w:sz w:val="22"/>
          <w:szCs w:val="22"/>
        </w:rPr>
        <w:t xml:space="preserve">, </w:t>
      </w:r>
      <w:r w:rsidR="00D03F19">
        <w:rPr>
          <w:rFonts w:asciiTheme="minorHAnsi" w:hAnsiTheme="minorHAnsi" w:cs="ITCBookmanEE"/>
          <w:color w:val="231F20"/>
          <w:sz w:val="22"/>
          <w:szCs w:val="22"/>
        </w:rPr>
        <w:t xml:space="preserve">pripomienky </w:t>
      </w:r>
      <w:r w:rsidR="00171FB2">
        <w:rPr>
          <w:rFonts w:asciiTheme="minorHAnsi" w:hAnsiTheme="minorHAnsi" w:cs="ITCBookmanEE"/>
          <w:color w:val="231F20"/>
          <w:sz w:val="22"/>
          <w:szCs w:val="22"/>
        </w:rPr>
        <w:t xml:space="preserve">a odporúčania </w:t>
      </w:r>
      <w:r w:rsidR="00D03F19">
        <w:rPr>
          <w:rFonts w:asciiTheme="minorHAnsi" w:hAnsiTheme="minorHAnsi" w:cs="ITCBookmanEE"/>
          <w:color w:val="231F20"/>
          <w:sz w:val="22"/>
          <w:szCs w:val="22"/>
        </w:rPr>
        <w:t>a</w:t>
      </w:r>
      <w:r w:rsidR="00171FB2">
        <w:rPr>
          <w:rFonts w:asciiTheme="minorHAnsi" w:hAnsiTheme="minorHAnsi" w:cs="ITCBookmanEE"/>
          <w:color w:val="231F20"/>
          <w:sz w:val="22"/>
          <w:szCs w:val="22"/>
        </w:rPr>
        <w:t xml:space="preserve">ko aj </w:t>
      </w:r>
      <w:r w:rsidR="00145A1F">
        <w:rPr>
          <w:rFonts w:asciiTheme="minorHAnsi" w:hAnsiTheme="minorHAnsi" w:cs="ITCBookmanEE"/>
          <w:color w:val="231F20"/>
          <w:sz w:val="22"/>
          <w:szCs w:val="22"/>
        </w:rPr>
        <w:t>poskytnutie spracovaných</w:t>
      </w:r>
      <w:r w:rsidR="00D03F19">
        <w:rPr>
          <w:rFonts w:asciiTheme="minorHAnsi" w:hAnsiTheme="minorHAnsi" w:cs="ITCBookmanEE"/>
          <w:color w:val="231F20"/>
          <w:sz w:val="22"/>
          <w:szCs w:val="22"/>
        </w:rPr>
        <w:t xml:space="preserve"> niektorých častí</w:t>
      </w:r>
      <w:r w:rsidR="006F3A2D">
        <w:rPr>
          <w:rFonts w:asciiTheme="minorHAnsi" w:hAnsiTheme="minorHAnsi" w:cs="ITCBookmanEE"/>
          <w:color w:val="231F20"/>
          <w:sz w:val="22"/>
          <w:szCs w:val="22"/>
        </w:rPr>
        <w:t xml:space="preserve"> analýzy</w:t>
      </w:r>
      <w:r w:rsidR="00D261D6">
        <w:rPr>
          <w:rFonts w:asciiTheme="minorHAnsi" w:hAnsiTheme="minorHAnsi" w:cs="ITCBookmanEE"/>
          <w:color w:val="231F20"/>
          <w:sz w:val="22"/>
          <w:szCs w:val="22"/>
        </w:rPr>
        <w:t xml:space="preserve"> týkajúcej sa hlavne akčných plánov najmenej rozvinutých okresov.</w:t>
      </w:r>
      <w:r w:rsidR="006F3A2D">
        <w:rPr>
          <w:rFonts w:asciiTheme="minorHAnsi" w:hAnsiTheme="minorHAnsi" w:cs="ITCBookmanEE"/>
          <w:color w:val="231F20"/>
          <w:sz w:val="22"/>
          <w:szCs w:val="22"/>
        </w:rPr>
        <w:t xml:space="preserve"> </w:t>
      </w:r>
    </w:p>
    <w:p w:rsidR="00D03F19" w:rsidRDefault="006F3A2D"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r>
        <w:rPr>
          <w:rFonts w:asciiTheme="minorHAnsi" w:hAnsiTheme="minorHAnsi" w:cs="ITCBookmanEE"/>
          <w:color w:val="231F20"/>
          <w:sz w:val="22"/>
          <w:szCs w:val="22"/>
        </w:rPr>
        <w:t xml:space="preserve">Poslednou časťou dokumentu sú </w:t>
      </w:r>
      <w:r w:rsidR="00A071B6">
        <w:rPr>
          <w:rFonts w:asciiTheme="minorHAnsi" w:hAnsiTheme="minorHAnsi" w:cs="ITCBookmanEE"/>
          <w:color w:val="231F20"/>
          <w:sz w:val="22"/>
          <w:szCs w:val="22"/>
        </w:rPr>
        <w:t xml:space="preserve">konkrétne </w:t>
      </w:r>
      <w:r w:rsidR="00171FB2">
        <w:rPr>
          <w:rFonts w:asciiTheme="minorHAnsi" w:hAnsiTheme="minorHAnsi" w:cs="ITCBookmanEE"/>
          <w:color w:val="231F20"/>
          <w:sz w:val="22"/>
          <w:szCs w:val="22"/>
        </w:rPr>
        <w:t xml:space="preserve">vlastné </w:t>
      </w:r>
      <w:r>
        <w:rPr>
          <w:rFonts w:asciiTheme="minorHAnsi" w:hAnsiTheme="minorHAnsi" w:cs="ITCBookmanEE"/>
          <w:color w:val="231F20"/>
          <w:sz w:val="22"/>
          <w:szCs w:val="22"/>
        </w:rPr>
        <w:t>zistenia vzťahujúce s</w:t>
      </w:r>
      <w:r w:rsidR="00A071B6">
        <w:rPr>
          <w:rFonts w:asciiTheme="minorHAnsi" w:hAnsiTheme="minorHAnsi" w:cs="ITCBookmanEE"/>
          <w:color w:val="231F20"/>
          <w:sz w:val="22"/>
          <w:szCs w:val="22"/>
        </w:rPr>
        <w:t xml:space="preserve">a k zamestnávaniu starších osôb, ktoré budú </w:t>
      </w:r>
      <w:r w:rsidR="00B06005">
        <w:rPr>
          <w:rFonts w:asciiTheme="minorHAnsi" w:hAnsiTheme="minorHAnsi" w:cs="ITCBookmanEE"/>
          <w:color w:val="231F20"/>
          <w:sz w:val="22"/>
          <w:szCs w:val="22"/>
        </w:rPr>
        <w:t>vy</w:t>
      </w:r>
      <w:r w:rsidR="00A071B6">
        <w:rPr>
          <w:rFonts w:asciiTheme="minorHAnsi" w:hAnsiTheme="minorHAnsi" w:cs="ITCBookmanEE"/>
          <w:color w:val="231F20"/>
          <w:sz w:val="22"/>
          <w:szCs w:val="22"/>
        </w:rPr>
        <w:t xml:space="preserve">užité </w:t>
      </w:r>
      <w:r w:rsidR="00B06005">
        <w:rPr>
          <w:rFonts w:asciiTheme="minorHAnsi" w:hAnsiTheme="minorHAnsi" w:cs="ITCBookmanEE"/>
          <w:color w:val="231F20"/>
          <w:sz w:val="22"/>
          <w:szCs w:val="22"/>
        </w:rPr>
        <w:t xml:space="preserve"> aj </w:t>
      </w:r>
      <w:r w:rsidR="00A071B6">
        <w:rPr>
          <w:rFonts w:asciiTheme="minorHAnsi" w:hAnsiTheme="minorHAnsi" w:cs="ITCBookmanEE"/>
          <w:color w:val="231F20"/>
          <w:sz w:val="22"/>
          <w:szCs w:val="22"/>
        </w:rPr>
        <w:t>v ďalších etapách realizácie projektu.</w:t>
      </w:r>
    </w:p>
    <w:p w:rsidR="00171FB2" w:rsidRDefault="004A13B6"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r>
        <w:rPr>
          <w:rFonts w:asciiTheme="minorHAnsi" w:hAnsiTheme="minorHAnsi" w:cs="ITCBookmanEE"/>
          <w:color w:val="231F20"/>
          <w:sz w:val="22"/>
          <w:szCs w:val="22"/>
        </w:rPr>
        <w:t xml:space="preserve">Kľúčové slová: </w:t>
      </w:r>
    </w:p>
    <w:p w:rsidR="00FD1D46" w:rsidRDefault="00D03F19"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r>
        <w:rPr>
          <w:rFonts w:asciiTheme="minorHAnsi" w:hAnsiTheme="minorHAnsi" w:cs="ITCBookmanEE"/>
          <w:color w:val="231F20"/>
          <w:sz w:val="22"/>
          <w:szCs w:val="22"/>
        </w:rPr>
        <w:t>zamestnávanie 50+</w:t>
      </w:r>
      <w:r w:rsidR="00171FB2">
        <w:rPr>
          <w:rFonts w:asciiTheme="minorHAnsi" w:hAnsiTheme="minorHAnsi" w:cs="ITCBookmanEE"/>
          <w:color w:val="231F20"/>
          <w:sz w:val="22"/>
          <w:szCs w:val="22"/>
        </w:rPr>
        <w:t xml:space="preserve">, </w:t>
      </w:r>
      <w:r w:rsidR="00A071B6">
        <w:rPr>
          <w:rFonts w:asciiTheme="minorHAnsi" w:hAnsiTheme="minorHAnsi" w:cs="ITCBookmanEE"/>
          <w:color w:val="231F20"/>
          <w:sz w:val="22"/>
          <w:szCs w:val="22"/>
        </w:rPr>
        <w:t xml:space="preserve">zamestnanosť a nezamestnanosť starších osôb, </w:t>
      </w:r>
      <w:r w:rsidR="00171FB2">
        <w:rPr>
          <w:rFonts w:asciiTheme="minorHAnsi" w:hAnsiTheme="minorHAnsi" w:cs="ITCBookmanEE"/>
          <w:color w:val="231F20"/>
          <w:sz w:val="22"/>
          <w:szCs w:val="22"/>
        </w:rPr>
        <w:t>legislatíva zamestnávania na národnej a regionálnej úrovni, strategické a programové dokumenty, Národná stratégia regionálneho rozvoja SR, PHSR BBSK, plány rozvoja miest, stratégie CLLD, akčné plány NRO</w:t>
      </w:r>
      <w:r w:rsidR="00916DB9">
        <w:rPr>
          <w:rFonts w:asciiTheme="minorHAnsi" w:hAnsiTheme="minorHAnsi" w:cs="ITCBookmanEE"/>
          <w:color w:val="231F20"/>
          <w:sz w:val="22"/>
          <w:szCs w:val="22"/>
        </w:rPr>
        <w:t>.</w:t>
      </w:r>
      <w:r w:rsidR="00171FB2">
        <w:rPr>
          <w:rFonts w:asciiTheme="minorHAnsi" w:hAnsiTheme="minorHAnsi" w:cs="ITCBookmanEE"/>
          <w:color w:val="231F20"/>
          <w:sz w:val="22"/>
          <w:szCs w:val="22"/>
        </w:rPr>
        <w:t xml:space="preserve"> </w:t>
      </w:r>
    </w:p>
    <w:p w:rsidR="00FD1D46" w:rsidRDefault="00FD1D46"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rsidR="00FD1D46" w:rsidRDefault="00FD1D46"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rsidR="00FD1D46" w:rsidRDefault="00FD1D46"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rsidR="00FD1D46" w:rsidRDefault="00FD1D46"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rsidR="00FD1D46" w:rsidRDefault="00FD1D46"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rsidR="00FD1D46" w:rsidRDefault="00FD1D46"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rsidR="00FD1D46" w:rsidRDefault="00FD1D46"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rsidR="00FD1D46" w:rsidRDefault="00FD1D46"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rsidR="00FD1D46" w:rsidRDefault="00FD1D46"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rsidR="00FD1D46" w:rsidRDefault="00FD1D46" w:rsidP="003518A8">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rsidR="00FD4369" w:rsidRDefault="00FD4369" w:rsidP="00344E68">
      <w:pPr>
        <w:pStyle w:val="Nadpis1"/>
        <w:numPr>
          <w:ilvl w:val="0"/>
          <w:numId w:val="2"/>
        </w:numPr>
        <w:rPr>
          <w:rFonts w:asciiTheme="minorHAnsi" w:hAnsiTheme="minorHAnsi"/>
        </w:rPr>
      </w:pPr>
      <w:bookmarkStart w:id="2" w:name="_Toc536769634"/>
      <w:r>
        <w:rPr>
          <w:rFonts w:asciiTheme="minorHAnsi" w:hAnsiTheme="minorHAnsi"/>
        </w:rPr>
        <w:lastRenderedPageBreak/>
        <w:t>METODIKA ZBERU DÁT A ZAMERANIE ANALÝZY</w:t>
      </w:r>
      <w:bookmarkEnd w:id="2"/>
    </w:p>
    <w:p w:rsidR="00FD4369" w:rsidRDefault="00D03F19" w:rsidP="00FD4369">
      <w:pPr>
        <w:ind w:left="708"/>
        <w:rPr>
          <w:b/>
          <w:color w:val="548DD4" w:themeColor="text2" w:themeTint="99"/>
          <w:sz w:val="26"/>
          <w:szCs w:val="26"/>
        </w:rPr>
      </w:pPr>
      <w:r>
        <w:rPr>
          <w:b/>
          <w:color w:val="548DD4" w:themeColor="text2" w:themeTint="99"/>
          <w:sz w:val="26"/>
          <w:szCs w:val="26"/>
        </w:rPr>
        <w:t>1.1.</w:t>
      </w:r>
      <w:r w:rsidR="00FD4369">
        <w:rPr>
          <w:b/>
          <w:color w:val="548DD4" w:themeColor="text2" w:themeTint="99"/>
          <w:sz w:val="26"/>
          <w:szCs w:val="26"/>
        </w:rPr>
        <w:tab/>
      </w:r>
      <w:r w:rsidR="00FD4369" w:rsidRPr="00FD4369">
        <w:rPr>
          <w:b/>
          <w:color w:val="548DD4" w:themeColor="text2" w:themeTint="99"/>
          <w:sz w:val="26"/>
          <w:szCs w:val="26"/>
        </w:rPr>
        <w:t>Obsahové vymedzenie analýzy</w:t>
      </w:r>
    </w:p>
    <w:p w:rsidR="004C14DE" w:rsidRDefault="004C14DE" w:rsidP="004C14DE">
      <w:pPr>
        <w:spacing w:after="0"/>
        <w:jc w:val="both"/>
      </w:pPr>
      <w:r w:rsidRPr="00A97214">
        <w:t>Mapa analyzovaných dokumentov:</w:t>
      </w:r>
    </w:p>
    <w:p w:rsidR="004C14DE" w:rsidRPr="00A97214" w:rsidRDefault="00BB09F3" w:rsidP="004C14DE">
      <w:r>
        <w:rPr>
          <w:noProof/>
          <w:lang w:eastAsia="sk-SK"/>
        </w:rPr>
        <w:drawing>
          <wp:inline distT="0" distB="0" distL="0" distR="0" wp14:anchorId="1B986049" wp14:editId="29A4743A">
            <wp:extent cx="5760720" cy="24669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466975"/>
                    </a:xfrm>
                    <a:prstGeom prst="rect">
                      <a:avLst/>
                    </a:prstGeom>
                  </pic:spPr>
                </pic:pic>
              </a:graphicData>
            </a:graphic>
          </wp:inline>
        </w:drawing>
      </w:r>
    </w:p>
    <w:p w:rsidR="004C14DE" w:rsidRPr="00A97214" w:rsidRDefault="004C14DE" w:rsidP="004C14DE">
      <w:pPr>
        <w:jc w:val="both"/>
      </w:pPr>
      <w:r w:rsidRPr="00A97214">
        <w:t xml:space="preserve">V rámci analýzy sme sa zamerali na analýzu legislatívnych rámcov, vymedzujúce tému zamestnávania 50+ v regióne na národnej a regionálnej. Súčasne sme analyzovali relevantné strategické, rozvojové, programové a plánovacie dokumenty na regionálnej a lokálnej úrovni. </w:t>
      </w:r>
    </w:p>
    <w:p w:rsidR="004C14DE" w:rsidRDefault="004C14DE" w:rsidP="004C14DE">
      <w:pPr>
        <w:jc w:val="both"/>
      </w:pPr>
      <w:r w:rsidRPr="00A97214">
        <w:t>Na lokálnej úrovni sme sa venovali strategickým dokumentom, ktoré vymedzujú tému územie 3 MAS -  MAS Malohont, MAS Hontiansko – Dobronivské partnerstvo, MAS Hontiansko – Novohradské partnerstvo</w:t>
      </w:r>
      <w:r w:rsidR="00BB09F3">
        <w:t xml:space="preserve"> (okresy Krupina, Rimavská sobota, Veľký Krtíš, Zvolen)</w:t>
      </w:r>
      <w:r w:rsidRPr="00A97214">
        <w:t>, a to stratégiám CLLD a akčným plánom najmenej rozvinutých okresov (relevantné pre územie 3 MAS).</w:t>
      </w:r>
    </w:p>
    <w:p w:rsidR="00FD4369" w:rsidRPr="00487AA9" w:rsidRDefault="00FD4369" w:rsidP="00FD4369">
      <w:pPr>
        <w:jc w:val="both"/>
        <w:rPr>
          <w:color w:val="222222"/>
        </w:rPr>
      </w:pPr>
      <w:r w:rsidRPr="00487AA9">
        <w:rPr>
          <w:color w:val="222222"/>
        </w:rPr>
        <w:t>Predmetom spracovania dokumentu „Analýza stavu a možností regionálnej politiky v oblasti zamestnávania 50+“ je analýza legislatívnych noriem, vzťahujúcich sa na riešenie problémov vysokej miery nezamestnanosti</w:t>
      </w:r>
      <w:r>
        <w:rPr>
          <w:color w:val="222222"/>
        </w:rPr>
        <w:t xml:space="preserve"> </w:t>
      </w:r>
      <w:r w:rsidR="00B06005">
        <w:rPr>
          <w:color w:val="222222"/>
        </w:rPr>
        <w:t xml:space="preserve">osôb </w:t>
      </w:r>
      <w:r>
        <w:rPr>
          <w:color w:val="222222"/>
        </w:rPr>
        <w:t>vo veku 50 rokov a starších</w:t>
      </w:r>
      <w:r w:rsidRPr="00487AA9">
        <w:rPr>
          <w:color w:val="222222"/>
        </w:rPr>
        <w:t xml:space="preserve"> </w:t>
      </w:r>
      <w:r w:rsidR="00631A66">
        <w:rPr>
          <w:color w:val="222222"/>
        </w:rPr>
        <w:t xml:space="preserve">z hľadiska regionálnej politiky </w:t>
      </w:r>
      <w:r w:rsidRPr="00487AA9">
        <w:rPr>
          <w:color w:val="222222"/>
        </w:rPr>
        <w:t>platných v dobe spracovania dokumentu</w:t>
      </w:r>
      <w:r>
        <w:rPr>
          <w:color w:val="222222"/>
        </w:rPr>
        <w:t xml:space="preserve">, </w:t>
      </w:r>
      <w:r w:rsidRPr="00487AA9">
        <w:rPr>
          <w:color w:val="222222"/>
        </w:rPr>
        <w:t>to</w:t>
      </w:r>
      <w:r>
        <w:rPr>
          <w:color w:val="222222"/>
        </w:rPr>
        <w:t xml:space="preserve"> je</w:t>
      </w:r>
      <w:r w:rsidRPr="00487AA9">
        <w:rPr>
          <w:color w:val="222222"/>
        </w:rPr>
        <w:t xml:space="preserve"> v r. 2018 </w:t>
      </w:r>
      <w:r>
        <w:rPr>
          <w:color w:val="222222"/>
        </w:rPr>
        <w:t xml:space="preserve">tak </w:t>
      </w:r>
      <w:r w:rsidRPr="00487AA9">
        <w:rPr>
          <w:color w:val="222222"/>
        </w:rPr>
        <w:t>na národnej</w:t>
      </w:r>
      <w:r w:rsidR="00304B99">
        <w:rPr>
          <w:color w:val="222222"/>
        </w:rPr>
        <w:t>,</w:t>
      </w:r>
      <w:r w:rsidRPr="00487AA9">
        <w:rPr>
          <w:color w:val="222222"/>
        </w:rPr>
        <w:t xml:space="preserve"> a</w:t>
      </w:r>
      <w:r>
        <w:rPr>
          <w:color w:val="222222"/>
        </w:rPr>
        <w:t>ko aj na</w:t>
      </w:r>
      <w:r w:rsidRPr="00487AA9">
        <w:rPr>
          <w:color w:val="222222"/>
        </w:rPr>
        <w:t> regionálnej</w:t>
      </w:r>
      <w:r w:rsidR="00631A66">
        <w:rPr>
          <w:color w:val="222222"/>
        </w:rPr>
        <w:t xml:space="preserve"> </w:t>
      </w:r>
      <w:r w:rsidRPr="00487AA9">
        <w:rPr>
          <w:color w:val="222222"/>
        </w:rPr>
        <w:t xml:space="preserve"> úrovni</w:t>
      </w:r>
      <w:r w:rsidR="00631A66">
        <w:rPr>
          <w:color w:val="222222"/>
        </w:rPr>
        <w:t xml:space="preserve">  - krajskej a okresnej</w:t>
      </w:r>
      <w:r w:rsidR="00BF1B16">
        <w:rPr>
          <w:color w:val="222222"/>
        </w:rPr>
        <w:t>, a z časti aj na miestnej úrovni</w:t>
      </w:r>
      <w:r w:rsidR="00D03F19">
        <w:rPr>
          <w:color w:val="222222"/>
        </w:rPr>
        <w:t xml:space="preserve"> vo vzťahu k analyzovaným </w:t>
      </w:r>
      <w:r w:rsidR="00631A66">
        <w:rPr>
          <w:color w:val="222222"/>
        </w:rPr>
        <w:t>územiam</w:t>
      </w:r>
      <w:r w:rsidR="00D03F19">
        <w:rPr>
          <w:color w:val="222222"/>
        </w:rPr>
        <w:t xml:space="preserve"> partnerských miestnych akčných skupín (ďalej len MAS)</w:t>
      </w:r>
      <w:r w:rsidR="00BF1B16">
        <w:rPr>
          <w:color w:val="222222"/>
        </w:rPr>
        <w:t>. Konkrétne sú</w:t>
      </w:r>
      <w:r w:rsidR="00631A66">
        <w:rPr>
          <w:color w:val="222222"/>
        </w:rPr>
        <w:t xml:space="preserve"> v dokumente</w:t>
      </w:r>
      <w:r w:rsidR="00BF1B16">
        <w:rPr>
          <w:color w:val="222222"/>
        </w:rPr>
        <w:t xml:space="preserve"> analyzované</w:t>
      </w:r>
      <w:r>
        <w:rPr>
          <w:color w:val="222222"/>
        </w:rPr>
        <w:t> </w:t>
      </w:r>
      <w:r w:rsidRPr="00631A66">
        <w:rPr>
          <w:b/>
          <w:color w:val="222222"/>
        </w:rPr>
        <w:t>nasledujúce zákony</w:t>
      </w:r>
      <w:r w:rsidRPr="00487AA9">
        <w:rPr>
          <w:color w:val="222222"/>
        </w:rPr>
        <w:t xml:space="preserve">: </w:t>
      </w:r>
    </w:p>
    <w:p w:rsidR="00FD4369" w:rsidRPr="00487AA9" w:rsidRDefault="00FD4369" w:rsidP="00FD4369">
      <w:pPr>
        <w:pStyle w:val="Odsekzoznamu"/>
        <w:numPr>
          <w:ilvl w:val="0"/>
          <w:numId w:val="8"/>
        </w:numPr>
        <w:spacing w:after="120"/>
        <w:jc w:val="both"/>
      </w:pPr>
      <w:r w:rsidRPr="00487AA9">
        <w:t>Zákon č. 369/1990 Zb. o obecnom zriadení v znení neskorších zmien a doplnkov;</w:t>
      </w:r>
    </w:p>
    <w:p w:rsidR="00FD4369" w:rsidRPr="00487AA9" w:rsidRDefault="00FD4369" w:rsidP="00FD4369">
      <w:pPr>
        <w:pStyle w:val="Odsekzoznamu"/>
        <w:numPr>
          <w:ilvl w:val="0"/>
          <w:numId w:val="8"/>
        </w:numPr>
        <w:spacing w:after="120"/>
        <w:jc w:val="both"/>
      </w:pPr>
      <w:r w:rsidRPr="00487AA9">
        <w:t>Zákon č. 302/2001 Z. z. o samospráve vyšších územných celkov v znení neskorších zmien a doplnkov;</w:t>
      </w:r>
    </w:p>
    <w:p w:rsidR="00FD4369" w:rsidRPr="00487AA9" w:rsidRDefault="00FD4369" w:rsidP="00FD4369">
      <w:pPr>
        <w:pStyle w:val="Odsekzoznamu"/>
        <w:numPr>
          <w:ilvl w:val="0"/>
          <w:numId w:val="8"/>
        </w:numPr>
        <w:spacing w:after="120"/>
        <w:jc w:val="both"/>
      </w:pPr>
      <w:r w:rsidRPr="00487AA9">
        <w:t>Zákon č. 539/2008 Z. z. o podpore regionálneho rozvoja v znení neskorších zmien a doplnkov;</w:t>
      </w:r>
    </w:p>
    <w:p w:rsidR="00FD4369" w:rsidRPr="00487AA9" w:rsidRDefault="00FD4369" w:rsidP="00FD4369">
      <w:pPr>
        <w:pStyle w:val="Odsekzoznamu"/>
        <w:numPr>
          <w:ilvl w:val="0"/>
          <w:numId w:val="8"/>
        </w:numPr>
        <w:spacing w:after="120"/>
        <w:jc w:val="both"/>
      </w:pPr>
      <w:r w:rsidRPr="00487AA9">
        <w:t>Zákon č. 448/2008 Z. z. o sociálnych službách v znení neskorších zmien a doplnkov;</w:t>
      </w:r>
    </w:p>
    <w:p w:rsidR="00FD4369" w:rsidRPr="00487AA9" w:rsidRDefault="00FD4369" w:rsidP="00FD4369">
      <w:pPr>
        <w:pStyle w:val="Odsekzoznamu"/>
        <w:numPr>
          <w:ilvl w:val="0"/>
          <w:numId w:val="8"/>
        </w:numPr>
        <w:spacing w:after="120"/>
        <w:jc w:val="both"/>
      </w:pPr>
      <w:r w:rsidRPr="00487AA9">
        <w:t>Zákon č. 335/2015 Z</w:t>
      </w:r>
      <w:r>
        <w:t xml:space="preserve">. </w:t>
      </w:r>
      <w:r w:rsidRPr="00487AA9">
        <w:t>z. o podpore najmenej rozvinutých okresov v zn</w:t>
      </w:r>
      <w:r w:rsidR="008A448A">
        <w:t>ení neskorších zmien a doplnkov.</w:t>
      </w:r>
    </w:p>
    <w:p w:rsidR="00FD4369" w:rsidRPr="00FD4369" w:rsidRDefault="008A448A" w:rsidP="00FD4369">
      <w:pPr>
        <w:spacing w:after="120"/>
        <w:jc w:val="both"/>
        <w:rPr>
          <w:color w:val="222222"/>
        </w:rPr>
      </w:pPr>
      <w:r>
        <w:rPr>
          <w:color w:val="222222"/>
        </w:rPr>
        <w:t>Ďalej boli analyzované</w:t>
      </w:r>
      <w:r w:rsidR="00FD4369">
        <w:rPr>
          <w:color w:val="222222"/>
        </w:rPr>
        <w:t xml:space="preserve"> </w:t>
      </w:r>
      <w:r w:rsidR="00EB6F01" w:rsidRPr="00631A66">
        <w:rPr>
          <w:b/>
          <w:color w:val="222222"/>
        </w:rPr>
        <w:t>platné</w:t>
      </w:r>
      <w:r w:rsidR="00FD4369" w:rsidRPr="00631A66">
        <w:rPr>
          <w:b/>
          <w:color w:val="222222"/>
        </w:rPr>
        <w:t xml:space="preserve"> strategick</w:t>
      </w:r>
      <w:r w:rsidR="00EB6F01" w:rsidRPr="00631A66">
        <w:rPr>
          <w:b/>
          <w:color w:val="222222"/>
        </w:rPr>
        <w:t>é</w:t>
      </w:r>
      <w:r w:rsidR="00FD4369" w:rsidRPr="00631A66">
        <w:rPr>
          <w:b/>
          <w:color w:val="222222"/>
        </w:rPr>
        <w:t>, rozvojov</w:t>
      </w:r>
      <w:r w:rsidR="00EB6F01" w:rsidRPr="00631A66">
        <w:rPr>
          <w:b/>
          <w:color w:val="222222"/>
        </w:rPr>
        <w:t>é</w:t>
      </w:r>
      <w:r w:rsidR="00FD4369" w:rsidRPr="00631A66">
        <w:rPr>
          <w:b/>
          <w:color w:val="222222"/>
        </w:rPr>
        <w:t>, programov</w:t>
      </w:r>
      <w:r w:rsidR="00EB6F01" w:rsidRPr="00631A66">
        <w:rPr>
          <w:b/>
          <w:color w:val="222222"/>
        </w:rPr>
        <w:t>é</w:t>
      </w:r>
      <w:r w:rsidR="00FD4369" w:rsidRPr="00631A66">
        <w:rPr>
          <w:b/>
          <w:color w:val="222222"/>
        </w:rPr>
        <w:t xml:space="preserve"> a plánova</w:t>
      </w:r>
      <w:r w:rsidR="00EB6F01" w:rsidRPr="00631A66">
        <w:rPr>
          <w:b/>
          <w:color w:val="222222"/>
        </w:rPr>
        <w:t>cie</w:t>
      </w:r>
      <w:r w:rsidR="00FD4369" w:rsidRPr="00631A66">
        <w:rPr>
          <w:b/>
          <w:color w:val="222222"/>
        </w:rPr>
        <w:t xml:space="preserve"> dokument</w:t>
      </w:r>
      <w:r w:rsidR="00EB6F01" w:rsidRPr="00631A66">
        <w:rPr>
          <w:b/>
          <w:color w:val="222222"/>
        </w:rPr>
        <w:t>y</w:t>
      </w:r>
      <w:r w:rsidR="00BF1B16">
        <w:rPr>
          <w:color w:val="222222"/>
        </w:rPr>
        <w:t xml:space="preserve"> taktiež</w:t>
      </w:r>
      <w:r w:rsidR="00FD4369" w:rsidRPr="00FD4369">
        <w:rPr>
          <w:color w:val="222222"/>
        </w:rPr>
        <w:t xml:space="preserve"> na národnej, regionálnej a</w:t>
      </w:r>
      <w:r w:rsidR="00EB6F01">
        <w:rPr>
          <w:color w:val="222222"/>
        </w:rPr>
        <w:t xml:space="preserve"> </w:t>
      </w:r>
      <w:r w:rsidR="00360F74">
        <w:rPr>
          <w:color w:val="222222"/>
        </w:rPr>
        <w:t xml:space="preserve">z časti aj na </w:t>
      </w:r>
      <w:r w:rsidR="00FD4369" w:rsidRPr="00FD4369">
        <w:rPr>
          <w:color w:val="222222"/>
        </w:rPr>
        <w:t>miestnej úrovni</w:t>
      </w:r>
      <w:r w:rsidR="00BF1B16">
        <w:rPr>
          <w:color w:val="222222"/>
        </w:rPr>
        <w:t>,</w:t>
      </w:r>
      <w:r w:rsidR="00FD4369" w:rsidRPr="00FD4369">
        <w:rPr>
          <w:color w:val="222222"/>
        </w:rPr>
        <w:t xml:space="preserve"> vzťahujúc</w:t>
      </w:r>
      <w:r w:rsidR="00EB6F01">
        <w:rPr>
          <w:color w:val="222222"/>
        </w:rPr>
        <w:t>e</w:t>
      </w:r>
      <w:r w:rsidR="00FD4369" w:rsidRPr="00FD4369">
        <w:rPr>
          <w:color w:val="222222"/>
        </w:rPr>
        <w:t xml:space="preserve"> sa ku konkrétnemu územiu</w:t>
      </w:r>
      <w:r w:rsidR="00BF1B16">
        <w:rPr>
          <w:color w:val="222222"/>
        </w:rPr>
        <w:t xml:space="preserve"> realizácie </w:t>
      </w:r>
      <w:r w:rsidR="00BF1B16">
        <w:rPr>
          <w:color w:val="222222"/>
        </w:rPr>
        <w:lastRenderedPageBreak/>
        <w:t>projektu</w:t>
      </w:r>
      <w:r w:rsidR="00FD4369" w:rsidRPr="00FD4369">
        <w:rPr>
          <w:color w:val="222222"/>
        </w:rPr>
        <w:t xml:space="preserve"> – regiónu Banskobystrického kraja ako celku a</w:t>
      </w:r>
      <w:r w:rsidR="00EB6F01">
        <w:rPr>
          <w:color w:val="222222"/>
        </w:rPr>
        <w:t xml:space="preserve"> k</w:t>
      </w:r>
      <w:r w:rsidR="00FD4369" w:rsidRPr="00FD4369">
        <w:rPr>
          <w:color w:val="222222"/>
        </w:rPr>
        <w:t> územiu troch miestnych akčných skupín</w:t>
      </w:r>
      <w:r w:rsidR="00360F74">
        <w:rPr>
          <w:color w:val="222222"/>
        </w:rPr>
        <w:t>, ktoré sú</w:t>
      </w:r>
      <w:r w:rsidR="00FD4369" w:rsidRPr="00FD4369">
        <w:rPr>
          <w:color w:val="222222"/>
        </w:rPr>
        <w:t xml:space="preserve"> neformálny</w:t>
      </w:r>
      <w:r w:rsidR="00360F74">
        <w:rPr>
          <w:color w:val="222222"/>
        </w:rPr>
        <w:t>m</w:t>
      </w:r>
      <w:r w:rsidR="00FD4369" w:rsidRPr="00FD4369">
        <w:rPr>
          <w:color w:val="222222"/>
        </w:rPr>
        <w:t xml:space="preserve"> partnero</w:t>
      </w:r>
      <w:r w:rsidR="00360F74">
        <w:rPr>
          <w:color w:val="222222"/>
        </w:rPr>
        <w:t xml:space="preserve">m </w:t>
      </w:r>
      <w:r w:rsidR="00FD4369" w:rsidRPr="00FD4369">
        <w:rPr>
          <w:color w:val="222222"/>
        </w:rPr>
        <w:t>v projekt</w:t>
      </w:r>
      <w:r w:rsidR="00360F74">
        <w:rPr>
          <w:color w:val="222222"/>
        </w:rPr>
        <w:t>e</w:t>
      </w:r>
      <w:r w:rsidR="00FD4369" w:rsidRPr="00FD4369">
        <w:rPr>
          <w:color w:val="222222"/>
        </w:rPr>
        <w:t xml:space="preserve"> „</w:t>
      </w:r>
      <w:r>
        <w:rPr>
          <w:color w:val="222222"/>
        </w:rPr>
        <w:t>Z</w:t>
      </w:r>
      <w:r w:rsidR="00FD4369" w:rsidRPr="00FD4369">
        <w:rPr>
          <w:color w:val="222222"/>
        </w:rPr>
        <w:t>amestnávania 50+</w:t>
      </w:r>
      <w:r>
        <w:rPr>
          <w:color w:val="222222"/>
        </w:rPr>
        <w:t xml:space="preserve"> na regionálnej úrovni</w:t>
      </w:r>
      <w:r w:rsidR="00FD4369" w:rsidRPr="00FD4369">
        <w:rPr>
          <w:color w:val="222222"/>
        </w:rPr>
        <w:t>“</w:t>
      </w:r>
      <w:r w:rsidR="00304B99">
        <w:rPr>
          <w:color w:val="222222"/>
        </w:rPr>
        <w:t>.</w:t>
      </w:r>
      <w:r w:rsidR="00360F74">
        <w:rPr>
          <w:color w:val="222222"/>
        </w:rPr>
        <w:t xml:space="preserve"> </w:t>
      </w:r>
      <w:r w:rsidR="00BF1B16">
        <w:rPr>
          <w:color w:val="222222"/>
        </w:rPr>
        <w:t>Sú to</w:t>
      </w:r>
      <w:r w:rsidR="00360F74">
        <w:rPr>
          <w:color w:val="222222"/>
        </w:rPr>
        <w:t xml:space="preserve"> miestn</w:t>
      </w:r>
      <w:r w:rsidR="00BF1B16">
        <w:rPr>
          <w:color w:val="222222"/>
        </w:rPr>
        <w:t>e</w:t>
      </w:r>
      <w:r w:rsidR="00360F74">
        <w:rPr>
          <w:color w:val="222222"/>
        </w:rPr>
        <w:t xml:space="preserve"> akčn</w:t>
      </w:r>
      <w:r w:rsidR="00BF1B16">
        <w:rPr>
          <w:color w:val="222222"/>
        </w:rPr>
        <w:t>é</w:t>
      </w:r>
      <w:r w:rsidR="00360F74">
        <w:rPr>
          <w:color w:val="222222"/>
        </w:rPr>
        <w:t xml:space="preserve"> skup</w:t>
      </w:r>
      <w:r w:rsidR="00BF1B16">
        <w:rPr>
          <w:color w:val="222222"/>
        </w:rPr>
        <w:t>iny (ďalej len MAS)</w:t>
      </w:r>
      <w:r w:rsidR="00360F74">
        <w:rPr>
          <w:color w:val="222222"/>
        </w:rPr>
        <w:t>:</w:t>
      </w:r>
      <w:r w:rsidR="00EB6F01">
        <w:rPr>
          <w:color w:val="222222"/>
        </w:rPr>
        <w:t xml:space="preserve"> </w:t>
      </w:r>
      <w:r w:rsidR="00BF1B16">
        <w:rPr>
          <w:color w:val="222222"/>
        </w:rPr>
        <w:t xml:space="preserve">MAS </w:t>
      </w:r>
      <w:r w:rsidR="00EB6F01">
        <w:rPr>
          <w:color w:val="222222"/>
        </w:rPr>
        <w:t xml:space="preserve">Malohont, </w:t>
      </w:r>
      <w:r w:rsidR="00EB6F01" w:rsidRPr="00DB2E49">
        <w:t>Verejno-súkromné partnerstvo Hontiansko</w:t>
      </w:r>
      <w:r w:rsidR="00EB6F01">
        <w:t xml:space="preserve"> </w:t>
      </w:r>
      <w:r w:rsidR="00EB6F01" w:rsidRPr="00DB2E49">
        <w:t>-</w:t>
      </w:r>
      <w:r w:rsidR="00EB6F01">
        <w:t xml:space="preserve"> </w:t>
      </w:r>
      <w:r w:rsidR="00EB6F01" w:rsidRPr="00DB2E49">
        <w:t>Dobronivské</w:t>
      </w:r>
      <w:r w:rsidR="00EB6F01">
        <w:t xml:space="preserve"> a</w:t>
      </w:r>
      <w:r w:rsidR="00360F74">
        <w:t> Verejno-súkromné partnerstvo</w:t>
      </w:r>
      <w:r w:rsidR="00EB6F01">
        <w:t xml:space="preserve"> Hontiansko - </w:t>
      </w:r>
      <w:r w:rsidR="00EB6F01" w:rsidRPr="00DB2E49">
        <w:t>Novohradské</w:t>
      </w:r>
      <w:r w:rsidR="00360F74">
        <w:t xml:space="preserve">. </w:t>
      </w:r>
    </w:p>
    <w:p w:rsidR="00FD4369" w:rsidRPr="00487AA9" w:rsidRDefault="00FE7E84" w:rsidP="00FD4369">
      <w:pPr>
        <w:jc w:val="both"/>
        <w:rPr>
          <w:color w:val="222222"/>
        </w:rPr>
      </w:pPr>
      <w:r>
        <w:rPr>
          <w:color w:val="222222"/>
        </w:rPr>
        <w:t xml:space="preserve">Na analýzu boli v nadväznosti na predchádzajúcu platnú legislatívu </w:t>
      </w:r>
      <w:r w:rsidR="00C3273B">
        <w:rPr>
          <w:color w:val="222222"/>
        </w:rPr>
        <w:t>vybraté</w:t>
      </w:r>
      <w:r>
        <w:rPr>
          <w:color w:val="222222"/>
        </w:rPr>
        <w:t xml:space="preserve"> </w:t>
      </w:r>
      <w:r w:rsidR="00A173D3">
        <w:rPr>
          <w:color w:val="222222"/>
        </w:rPr>
        <w:t xml:space="preserve">nasledovné </w:t>
      </w:r>
      <w:r w:rsidR="00360F74">
        <w:rPr>
          <w:color w:val="222222"/>
        </w:rPr>
        <w:t>dokumenty</w:t>
      </w:r>
      <w:r w:rsidR="00FD4369" w:rsidRPr="00487AA9">
        <w:rPr>
          <w:color w:val="222222"/>
        </w:rPr>
        <w:t>:</w:t>
      </w:r>
    </w:p>
    <w:p w:rsidR="00360F74" w:rsidRDefault="00360F74" w:rsidP="00FD4369">
      <w:pPr>
        <w:pStyle w:val="Odsekzoznamu"/>
        <w:numPr>
          <w:ilvl w:val="0"/>
          <w:numId w:val="8"/>
        </w:numPr>
        <w:spacing w:after="120"/>
        <w:jc w:val="both"/>
      </w:pPr>
      <w:r>
        <w:t>Aktualizácia národnej stratégie regionálneho rozvoja SR</w:t>
      </w:r>
    </w:p>
    <w:p w:rsidR="00FD4369" w:rsidRPr="00487AA9" w:rsidRDefault="00FD4369" w:rsidP="00FD4369">
      <w:pPr>
        <w:pStyle w:val="Odsekzoznamu"/>
        <w:numPr>
          <w:ilvl w:val="0"/>
          <w:numId w:val="8"/>
        </w:numPr>
        <w:spacing w:after="120"/>
        <w:jc w:val="both"/>
      </w:pPr>
      <w:r w:rsidRPr="00487AA9">
        <w:t>Program hospodárskeho a sociálneho rozvoja B</w:t>
      </w:r>
      <w:r w:rsidR="00A173D3">
        <w:t xml:space="preserve">anskobystrického  samosprávneho kraja na r. 2015 </w:t>
      </w:r>
      <w:r w:rsidR="00304B99" w:rsidRPr="00FD4369">
        <w:rPr>
          <w:color w:val="222222"/>
        </w:rPr>
        <w:t>–</w:t>
      </w:r>
      <w:r w:rsidR="00A173D3">
        <w:t xml:space="preserve"> 2023</w:t>
      </w:r>
      <w:r w:rsidRPr="00487AA9">
        <w:t xml:space="preserve">, </w:t>
      </w:r>
    </w:p>
    <w:p w:rsidR="00FD4369" w:rsidRPr="00487AA9" w:rsidRDefault="008A448A" w:rsidP="00FD4369">
      <w:pPr>
        <w:pStyle w:val="Odsekzoznamu"/>
        <w:numPr>
          <w:ilvl w:val="0"/>
          <w:numId w:val="8"/>
        </w:numPr>
        <w:spacing w:after="120"/>
        <w:jc w:val="both"/>
      </w:pPr>
      <w:r>
        <w:t>a</w:t>
      </w:r>
      <w:r w:rsidR="00FD4369" w:rsidRPr="00487AA9">
        <w:t>kčn</w:t>
      </w:r>
      <w:r w:rsidR="00A173D3">
        <w:t>é</w:t>
      </w:r>
      <w:r w:rsidR="00FD4369" w:rsidRPr="00487AA9">
        <w:t xml:space="preserve"> plán</w:t>
      </w:r>
      <w:r w:rsidR="00A173D3">
        <w:t>y</w:t>
      </w:r>
      <w:r w:rsidR="00EA4FBA">
        <w:t xml:space="preserve"> všetkých </w:t>
      </w:r>
      <w:r w:rsidR="00FD4369" w:rsidRPr="00487AA9">
        <w:t>najmenej rozvinutých okresov</w:t>
      </w:r>
      <w:r w:rsidR="00EA4FBA">
        <w:t xml:space="preserve"> v Banskobystrickom kraji</w:t>
      </w:r>
      <w:r w:rsidR="00FD4369" w:rsidRPr="00487AA9">
        <w:t xml:space="preserve"> majúc</w:t>
      </w:r>
      <w:r w:rsidR="00A173D3">
        <w:t>e</w:t>
      </w:r>
      <w:r w:rsidR="00FD4369" w:rsidRPr="00487AA9">
        <w:t xml:space="preserve"> vzťah k partnerským MAS</w:t>
      </w:r>
      <w:r w:rsidR="00EA4FBA">
        <w:t xml:space="preserve"> </w:t>
      </w:r>
      <w:r w:rsidR="00304B99" w:rsidRPr="00FD4369">
        <w:rPr>
          <w:color w:val="222222"/>
        </w:rPr>
        <w:t>–</w:t>
      </w:r>
      <w:r w:rsidR="00EA4FBA">
        <w:t xml:space="preserve"> okresov Rimavská Sobota, Revúca a Poltár, z ktorých sú členské obce MAS Malohont</w:t>
      </w:r>
      <w:r w:rsidR="00FD4369" w:rsidRPr="00487AA9">
        <w:t xml:space="preserve">, </w:t>
      </w:r>
      <w:r w:rsidR="00EA4FBA">
        <w:t xml:space="preserve">okresov Lučenec a Veľkých Krtíš, do ktorých patria obce </w:t>
      </w:r>
      <w:r w:rsidR="0009131E">
        <w:t>MAS VSP Hontiansko-Novohradské;</w:t>
      </w:r>
    </w:p>
    <w:p w:rsidR="00FD4369" w:rsidRPr="00487AA9" w:rsidRDefault="008A448A" w:rsidP="00FD4369">
      <w:pPr>
        <w:pStyle w:val="Odsekzoznamu"/>
        <w:numPr>
          <w:ilvl w:val="0"/>
          <w:numId w:val="8"/>
        </w:numPr>
        <w:spacing w:after="120"/>
        <w:jc w:val="both"/>
      </w:pPr>
      <w:r>
        <w:t>s</w:t>
      </w:r>
      <w:r w:rsidR="00FD4369" w:rsidRPr="00487AA9">
        <w:t>tratégi</w:t>
      </w:r>
      <w:r w:rsidR="00E671BC">
        <w:t>e</w:t>
      </w:r>
      <w:r w:rsidR="00FD4369" w:rsidRPr="00487AA9">
        <w:t xml:space="preserve"> rozvoja </w:t>
      </w:r>
      <w:r w:rsidR="0079391F">
        <w:t xml:space="preserve">území </w:t>
      </w:r>
      <w:r w:rsidR="00FD4369" w:rsidRPr="00487AA9">
        <w:t>veden</w:t>
      </w:r>
      <w:r w:rsidR="0079391F">
        <w:t>ých</w:t>
      </w:r>
      <w:r w:rsidR="00FD4369" w:rsidRPr="00487AA9">
        <w:t xml:space="preserve"> komunitou – </w:t>
      </w:r>
      <w:r w:rsidR="00FE7E84">
        <w:t xml:space="preserve"> tzv. </w:t>
      </w:r>
      <w:r w:rsidR="00FD4369" w:rsidRPr="00487AA9">
        <w:t>stratégi</w:t>
      </w:r>
      <w:r w:rsidR="00E671BC">
        <w:t>e</w:t>
      </w:r>
      <w:r w:rsidR="00FD4369" w:rsidRPr="00487AA9">
        <w:t xml:space="preserve"> CLLD partnerských miestnych akčných skupín</w:t>
      </w:r>
    </w:p>
    <w:p w:rsidR="00FD4369" w:rsidRPr="00487AA9" w:rsidRDefault="008A448A" w:rsidP="00FD4369">
      <w:pPr>
        <w:pStyle w:val="Odsekzoznamu"/>
        <w:numPr>
          <w:ilvl w:val="0"/>
          <w:numId w:val="8"/>
        </w:numPr>
        <w:spacing w:after="120"/>
        <w:jc w:val="both"/>
      </w:pPr>
      <w:r>
        <w:t>p</w:t>
      </w:r>
      <w:r w:rsidR="00FD4369" w:rsidRPr="00487AA9">
        <w:t>rogram</w:t>
      </w:r>
      <w:r w:rsidR="00E671BC">
        <w:t>y rozv</w:t>
      </w:r>
      <w:r w:rsidR="00FD4369" w:rsidRPr="00487AA9">
        <w:t>oja</w:t>
      </w:r>
      <w:r w:rsidR="00E671BC">
        <w:t xml:space="preserve"> mie</w:t>
      </w:r>
      <w:r w:rsidR="0009131E">
        <w:t xml:space="preserve">st Hnúšťa, Modrý Kameň a Krupina </w:t>
      </w:r>
      <w:r w:rsidR="00FE7E84">
        <w:t xml:space="preserve">– ako </w:t>
      </w:r>
      <w:r w:rsidR="000066BE">
        <w:t xml:space="preserve"> </w:t>
      </w:r>
      <w:r w:rsidR="00FD4369" w:rsidRPr="00487AA9">
        <w:t xml:space="preserve">hospodárskych, </w:t>
      </w:r>
      <w:r w:rsidR="00FE7E84">
        <w:t xml:space="preserve"> obchodných, </w:t>
      </w:r>
      <w:r w:rsidR="000066BE">
        <w:t>vzdelávacích, zdravotných</w:t>
      </w:r>
      <w:r w:rsidR="00C3273B">
        <w:t>, sociálnych</w:t>
      </w:r>
      <w:r>
        <w:t>,</w:t>
      </w:r>
      <w:r w:rsidR="00FD4369" w:rsidRPr="00487AA9">
        <w:t> kultúrnych</w:t>
      </w:r>
      <w:r>
        <w:t>, či športových</w:t>
      </w:r>
      <w:r w:rsidR="00FD4369" w:rsidRPr="00487AA9">
        <w:t xml:space="preserve"> centier</w:t>
      </w:r>
      <w:r w:rsidR="000066BE">
        <w:t xml:space="preserve"> jednotlivých</w:t>
      </w:r>
      <w:r w:rsidR="00FD4369" w:rsidRPr="00487AA9">
        <w:t xml:space="preserve"> MAS</w:t>
      </w:r>
      <w:r w:rsidR="00FE7E84">
        <w:t>, k</w:t>
      </w:r>
      <w:r w:rsidR="0009131E">
        <w:t>am</w:t>
      </w:r>
      <w:r w:rsidR="00FE7E84">
        <w:t xml:space="preserve"> za prácou</w:t>
      </w:r>
      <w:r>
        <w:t>,</w:t>
      </w:r>
      <w:r w:rsidR="00FE7E84">
        <w:t xml:space="preserve"> službami </w:t>
      </w:r>
      <w:r>
        <w:t xml:space="preserve">a zábavou </w:t>
      </w:r>
      <w:r w:rsidR="00FE7E84">
        <w:t>dochádza</w:t>
      </w:r>
      <w:r w:rsidR="0009131E">
        <w:t xml:space="preserve">jú </w:t>
      </w:r>
      <w:r w:rsidR="00FE7E84">
        <w:t>obyvate</w:t>
      </w:r>
      <w:r w:rsidR="0009131E">
        <w:t>lia</w:t>
      </w:r>
      <w:r w:rsidR="00FE7E84">
        <w:t xml:space="preserve"> </w:t>
      </w:r>
      <w:r w:rsidR="00C3273B">
        <w:t xml:space="preserve">členských </w:t>
      </w:r>
      <w:r w:rsidR="00FE7E84">
        <w:t xml:space="preserve">obcí </w:t>
      </w:r>
      <w:r w:rsidR="00950E69">
        <w:t xml:space="preserve"> z</w:t>
      </w:r>
      <w:r w:rsidR="00FE7E84">
        <w:t xml:space="preserve"> jednotlivých </w:t>
      </w:r>
      <w:r w:rsidR="0009131E">
        <w:t xml:space="preserve">partnerských </w:t>
      </w:r>
      <w:r w:rsidR="00FE7E84">
        <w:t>MAS</w:t>
      </w:r>
      <w:r w:rsidR="00C3273B">
        <w:t>.</w:t>
      </w:r>
      <w:r w:rsidR="00FE7E84">
        <w:t xml:space="preserve"> </w:t>
      </w:r>
    </w:p>
    <w:p w:rsidR="00FD4369" w:rsidRPr="00487AA9" w:rsidRDefault="00950E69" w:rsidP="009F3E76">
      <w:pPr>
        <w:pStyle w:val="Odsekzoznamu"/>
        <w:numPr>
          <w:ilvl w:val="0"/>
          <w:numId w:val="9"/>
        </w:numPr>
        <w:spacing w:after="120"/>
        <w:jc w:val="both"/>
      </w:pPr>
      <w:r>
        <w:t>k</w:t>
      </w:r>
      <w:r w:rsidR="00FE7E84">
        <w:t>omunitné</w:t>
      </w:r>
      <w:r w:rsidR="00FD4369" w:rsidRPr="00487AA9">
        <w:t xml:space="preserve"> plán</w:t>
      </w:r>
      <w:r w:rsidR="00FE7E84">
        <w:t>y</w:t>
      </w:r>
      <w:r w:rsidR="0009131E">
        <w:t xml:space="preserve"> vybraných miest </w:t>
      </w:r>
      <w:r w:rsidR="00FD4369" w:rsidRPr="00487AA9">
        <w:t>MAS</w:t>
      </w:r>
      <w:r w:rsidR="00FE7E84">
        <w:t xml:space="preserve"> v nadväznosti na Zákon č. 448/2008 Z. z. o sociálnych službách v znení neskorších zmien a doplnkov,</w:t>
      </w:r>
      <w:r>
        <w:t xml:space="preserve"> najmä</w:t>
      </w:r>
      <w:r w:rsidR="0009131E">
        <w:t xml:space="preserve"> v nadväznosti</w:t>
      </w:r>
      <w:r>
        <w:t xml:space="preserve"> </w:t>
      </w:r>
      <w:r w:rsidR="0009131E">
        <w:t>na</w:t>
      </w:r>
      <w:r w:rsidR="00FD5D47">
        <w:t xml:space="preserve"> </w:t>
      </w:r>
      <w:r w:rsidR="00FE7E84">
        <w:t>stať týkajúcu sa  predchádzani</w:t>
      </w:r>
      <w:r w:rsidR="00FD5D47">
        <w:t>a</w:t>
      </w:r>
      <w:r w:rsidR="00FE7E84">
        <w:t xml:space="preserve"> sociálnemu vylúčeniu vybraných skupín obyvateľstva, medzi ktoré možno podľa aktuálnych štatistických údajov a dosahovanej miery nezamestnanosti zaradiť aj skupinu obyvateľov starších ako 50 rokov. </w:t>
      </w:r>
    </w:p>
    <w:p w:rsidR="003D7251" w:rsidRDefault="003D7251" w:rsidP="003D7251">
      <w:pPr>
        <w:pStyle w:val="Textkomentra"/>
        <w:spacing w:after="0"/>
        <w:ind w:left="357"/>
        <w:rPr>
          <w:b/>
          <w:sz w:val="22"/>
          <w:szCs w:val="22"/>
        </w:rPr>
      </w:pPr>
    </w:p>
    <w:p w:rsidR="003D7251" w:rsidRPr="002A1653" w:rsidRDefault="003D7251" w:rsidP="00B720D5">
      <w:pPr>
        <w:pStyle w:val="Textkomentra"/>
        <w:spacing w:after="0"/>
        <w:rPr>
          <w:b/>
          <w:sz w:val="22"/>
          <w:szCs w:val="22"/>
        </w:rPr>
      </w:pPr>
      <w:r w:rsidRPr="002A1653">
        <w:rPr>
          <w:b/>
          <w:sz w:val="22"/>
          <w:szCs w:val="22"/>
        </w:rPr>
        <w:t xml:space="preserve">Poznámka: </w:t>
      </w:r>
    </w:p>
    <w:p w:rsidR="00D03F19" w:rsidRPr="002A1653" w:rsidRDefault="00D03F19" w:rsidP="00CE6A33">
      <w:pPr>
        <w:pStyle w:val="Textkomentra"/>
        <w:spacing w:after="0" w:line="276" w:lineRule="auto"/>
        <w:jc w:val="both"/>
        <w:rPr>
          <w:sz w:val="22"/>
          <w:szCs w:val="22"/>
        </w:rPr>
      </w:pPr>
      <w:r w:rsidRPr="002A1653">
        <w:rPr>
          <w:sz w:val="22"/>
          <w:szCs w:val="22"/>
        </w:rPr>
        <w:t>Národn</w:t>
      </w:r>
      <w:r w:rsidR="003D7251" w:rsidRPr="002A1653">
        <w:rPr>
          <w:sz w:val="22"/>
          <w:szCs w:val="22"/>
        </w:rPr>
        <w:t>á</w:t>
      </w:r>
      <w:r w:rsidRPr="002A1653">
        <w:rPr>
          <w:sz w:val="22"/>
          <w:szCs w:val="22"/>
        </w:rPr>
        <w:t xml:space="preserve"> stratégia zamestnanosti Slovenskej republiky do roku 2020</w:t>
      </w:r>
      <w:r w:rsidR="003D7251" w:rsidRPr="002A1653">
        <w:rPr>
          <w:sz w:val="22"/>
          <w:szCs w:val="22"/>
        </w:rPr>
        <w:t xml:space="preserve"> a </w:t>
      </w:r>
      <w:r w:rsidRPr="002A1653">
        <w:rPr>
          <w:sz w:val="22"/>
          <w:szCs w:val="22"/>
        </w:rPr>
        <w:t>Národný program aktívneho starnutia na roky 2014 – 2020</w:t>
      </w:r>
      <w:r w:rsidR="001C096A">
        <w:rPr>
          <w:sz w:val="22"/>
          <w:szCs w:val="22"/>
        </w:rPr>
        <w:t xml:space="preserve"> a ďalšie dokumenty vrátane súvisiacej legislatívy </w:t>
      </w:r>
      <w:r w:rsidR="003D7251" w:rsidRPr="002A1653">
        <w:rPr>
          <w:sz w:val="22"/>
          <w:szCs w:val="22"/>
        </w:rPr>
        <w:t xml:space="preserve">sú spracované v ďalších analytických dokumentoch projektu </w:t>
      </w:r>
      <w:r w:rsidR="003D7251" w:rsidRPr="002A1653">
        <w:rPr>
          <w:rFonts w:cs="ITCBookmanEE"/>
          <w:color w:val="231F20"/>
          <w:sz w:val="22"/>
          <w:szCs w:val="22"/>
        </w:rPr>
        <w:t>Zamestnávanie 50+ na regionálnej úrovni</w:t>
      </w:r>
      <w:r w:rsidR="003D7251" w:rsidRPr="002A1653">
        <w:rPr>
          <w:sz w:val="22"/>
          <w:szCs w:val="22"/>
        </w:rPr>
        <w:t>.</w:t>
      </w:r>
    </w:p>
    <w:p w:rsidR="00FD4369" w:rsidRPr="009F6386" w:rsidRDefault="00FD4369" w:rsidP="00CE6A33">
      <w:pPr>
        <w:ind w:firstLine="48"/>
        <w:jc w:val="both"/>
      </w:pPr>
    </w:p>
    <w:p w:rsidR="0011161A" w:rsidRDefault="00FD4369" w:rsidP="00EB316D">
      <w:pPr>
        <w:pStyle w:val="Nadpis2"/>
        <w:numPr>
          <w:ilvl w:val="1"/>
          <w:numId w:val="27"/>
        </w:numPr>
        <w:spacing w:after="200"/>
        <w:ind w:left="709" w:firstLine="0"/>
        <w:jc w:val="both"/>
        <w:rPr>
          <w:rFonts w:asciiTheme="minorHAnsi" w:hAnsiTheme="minorHAnsi"/>
        </w:rPr>
      </w:pPr>
      <w:bookmarkStart w:id="3" w:name="_Toc536769635"/>
      <w:r w:rsidRPr="00AD0BCD">
        <w:rPr>
          <w:rFonts w:asciiTheme="minorHAnsi" w:hAnsiTheme="minorHAnsi"/>
        </w:rPr>
        <w:t>Metodika zberu dát</w:t>
      </w:r>
      <w:bookmarkEnd w:id="3"/>
      <w:r w:rsidRPr="00AD0BCD">
        <w:rPr>
          <w:rFonts w:asciiTheme="minorHAnsi" w:hAnsiTheme="minorHAnsi"/>
        </w:rPr>
        <w:t xml:space="preserve"> </w:t>
      </w:r>
    </w:p>
    <w:p w:rsidR="00FD4369" w:rsidRPr="00487AA9" w:rsidRDefault="000066BE" w:rsidP="002A1653">
      <w:pPr>
        <w:jc w:val="both"/>
        <w:rPr>
          <w:color w:val="222222"/>
        </w:rPr>
      </w:pPr>
      <w:r>
        <w:rPr>
          <w:color w:val="222222"/>
        </w:rPr>
        <w:t>Legislatíva, jednotlivé analyzované dokumenty, konkrétne d</w:t>
      </w:r>
      <w:r w:rsidR="00FD4369" w:rsidRPr="00487AA9">
        <w:rPr>
          <w:color w:val="222222"/>
        </w:rPr>
        <w:t xml:space="preserve">áta a informácie boli získavané </w:t>
      </w:r>
      <w:r w:rsidR="00FD03C1">
        <w:rPr>
          <w:color w:val="222222"/>
        </w:rPr>
        <w:t xml:space="preserve">hlavne </w:t>
      </w:r>
      <w:r w:rsidR="00FD4369" w:rsidRPr="00487AA9">
        <w:rPr>
          <w:color w:val="222222"/>
        </w:rPr>
        <w:t>z verejne p</w:t>
      </w:r>
      <w:r>
        <w:rPr>
          <w:color w:val="222222"/>
        </w:rPr>
        <w:t xml:space="preserve">rístupných zdrojov </w:t>
      </w:r>
      <w:r w:rsidR="001C096A">
        <w:rPr>
          <w:color w:val="222222"/>
        </w:rPr>
        <w:t>a databáz, t. j.</w:t>
      </w:r>
      <w:r w:rsidR="00FD4369" w:rsidRPr="00487AA9">
        <w:rPr>
          <w:color w:val="222222"/>
        </w:rPr>
        <w:t xml:space="preserve"> z</w:t>
      </w:r>
      <w:r>
        <w:rPr>
          <w:color w:val="222222"/>
        </w:rPr>
        <w:t xml:space="preserve"> webových </w:t>
      </w:r>
      <w:r w:rsidR="00FD4369" w:rsidRPr="00487AA9">
        <w:rPr>
          <w:color w:val="222222"/>
        </w:rPr>
        <w:t>strán</w:t>
      </w:r>
      <w:r>
        <w:rPr>
          <w:color w:val="222222"/>
        </w:rPr>
        <w:t>ok</w:t>
      </w:r>
      <w:r w:rsidR="00FD4369" w:rsidRPr="00487AA9">
        <w:rPr>
          <w:color w:val="222222"/>
        </w:rPr>
        <w:t xml:space="preserve"> Úradu vlády SR, </w:t>
      </w:r>
      <w:proofErr w:type="spellStart"/>
      <w:r>
        <w:rPr>
          <w:color w:val="222222"/>
        </w:rPr>
        <w:t>enviroportálu</w:t>
      </w:r>
      <w:proofErr w:type="spellEnd"/>
      <w:r>
        <w:rPr>
          <w:color w:val="222222"/>
        </w:rPr>
        <w:t xml:space="preserve">, </w:t>
      </w:r>
      <w:r w:rsidR="002A1653">
        <w:rPr>
          <w:color w:val="222222"/>
        </w:rPr>
        <w:t xml:space="preserve">príslušných </w:t>
      </w:r>
      <w:r w:rsidR="00FD03C1">
        <w:rPr>
          <w:color w:val="222222"/>
        </w:rPr>
        <w:t xml:space="preserve">ministerstiev, </w:t>
      </w:r>
      <w:r w:rsidR="003D7251">
        <w:rPr>
          <w:color w:val="222222"/>
        </w:rPr>
        <w:t>webs</w:t>
      </w:r>
      <w:r w:rsidR="00FD5D47">
        <w:rPr>
          <w:color w:val="222222"/>
        </w:rPr>
        <w:t xml:space="preserve">tránky </w:t>
      </w:r>
      <w:hyperlink r:id="rId9" w:history="1">
        <w:r w:rsidR="003D7251" w:rsidRPr="003D7251">
          <w:rPr>
            <w:rStyle w:val="Hypertextovprepojenie"/>
            <w:color w:val="auto"/>
            <w:u w:val="none"/>
          </w:rPr>
          <w:t>slov-lex.sk</w:t>
        </w:r>
      </w:hyperlink>
      <w:r w:rsidR="00FD5D47" w:rsidRPr="003D7251">
        <w:t>,</w:t>
      </w:r>
      <w:r w:rsidR="00FD5D47">
        <w:rPr>
          <w:color w:val="222222"/>
        </w:rPr>
        <w:t xml:space="preserve"> </w:t>
      </w:r>
      <w:r w:rsidR="003D7251">
        <w:rPr>
          <w:color w:val="222222"/>
        </w:rPr>
        <w:t xml:space="preserve">Štatistického úradu SR, </w:t>
      </w:r>
      <w:r w:rsidR="00FD5D47">
        <w:rPr>
          <w:color w:val="222222"/>
        </w:rPr>
        <w:t xml:space="preserve">z </w:t>
      </w:r>
      <w:r w:rsidR="00FD5D47" w:rsidRPr="00487AA9">
        <w:rPr>
          <w:color w:val="222222"/>
        </w:rPr>
        <w:t>webstránky Bansko</w:t>
      </w:r>
      <w:r w:rsidR="00FD5D47">
        <w:rPr>
          <w:color w:val="222222"/>
        </w:rPr>
        <w:t xml:space="preserve">bystrického samosprávneho kraja </w:t>
      </w:r>
      <w:r w:rsidR="00FD4369" w:rsidRPr="00487AA9">
        <w:rPr>
          <w:color w:val="222222"/>
        </w:rPr>
        <w:t>a</w:t>
      </w:r>
      <w:r w:rsidR="00FD03C1">
        <w:rPr>
          <w:color w:val="222222"/>
        </w:rPr>
        <w:t> webstránok miest Hnúšťa, Kr</w:t>
      </w:r>
      <w:r w:rsidR="00F45C01">
        <w:rPr>
          <w:color w:val="222222"/>
        </w:rPr>
        <w:t>upin</w:t>
      </w:r>
      <w:r w:rsidR="00FD5D47">
        <w:rPr>
          <w:color w:val="222222"/>
        </w:rPr>
        <w:t>a</w:t>
      </w:r>
      <w:r w:rsidR="00950E69">
        <w:rPr>
          <w:color w:val="222222"/>
        </w:rPr>
        <w:t xml:space="preserve">, Modrý Kameň </w:t>
      </w:r>
      <w:r w:rsidR="003D7251">
        <w:rPr>
          <w:color w:val="222222"/>
        </w:rPr>
        <w:t>ako aj</w:t>
      </w:r>
      <w:r w:rsidR="00950E69">
        <w:rPr>
          <w:color w:val="222222"/>
        </w:rPr>
        <w:t xml:space="preserve"> </w:t>
      </w:r>
      <w:r w:rsidR="001C096A">
        <w:rPr>
          <w:color w:val="222222"/>
        </w:rPr>
        <w:t>z web</w:t>
      </w:r>
      <w:r w:rsidR="00950E69">
        <w:rPr>
          <w:color w:val="222222"/>
        </w:rPr>
        <w:t xml:space="preserve">stránok </w:t>
      </w:r>
      <w:r w:rsidR="00FD4369" w:rsidRPr="00487AA9">
        <w:rPr>
          <w:color w:val="222222"/>
        </w:rPr>
        <w:t>partner</w:t>
      </w:r>
      <w:r w:rsidR="004F35DB">
        <w:rPr>
          <w:color w:val="222222"/>
        </w:rPr>
        <w:t>ských</w:t>
      </w:r>
      <w:r w:rsidR="003D7251">
        <w:rPr>
          <w:color w:val="222222"/>
        </w:rPr>
        <w:t xml:space="preserve"> miestnych akčných skupín</w:t>
      </w:r>
      <w:r w:rsidR="004F35DB">
        <w:rPr>
          <w:color w:val="222222"/>
        </w:rPr>
        <w:t>.</w:t>
      </w:r>
    </w:p>
    <w:p w:rsidR="00FD4369" w:rsidRDefault="00FD4369" w:rsidP="00FD4369">
      <w:pPr>
        <w:jc w:val="both"/>
        <w:rPr>
          <w:color w:val="222222"/>
        </w:rPr>
      </w:pPr>
      <w:r w:rsidRPr="00487AA9">
        <w:rPr>
          <w:color w:val="222222"/>
        </w:rPr>
        <w:t>Bola využívaná hlavne rešerš legislatívnych, strategických</w:t>
      </w:r>
      <w:r w:rsidR="001C096A">
        <w:rPr>
          <w:color w:val="222222"/>
        </w:rPr>
        <w:t>, programových</w:t>
      </w:r>
      <w:r w:rsidRPr="00487AA9">
        <w:rPr>
          <w:color w:val="222222"/>
        </w:rPr>
        <w:t xml:space="preserve"> a plánovacích dokumentov</w:t>
      </w:r>
      <w:r w:rsidR="00FD03C1">
        <w:rPr>
          <w:color w:val="222222"/>
        </w:rPr>
        <w:t xml:space="preserve">, </w:t>
      </w:r>
      <w:r w:rsidRPr="00487AA9">
        <w:rPr>
          <w:color w:val="222222"/>
        </w:rPr>
        <w:t xml:space="preserve">selekcia a porovnávanie statí týkajúcich sa </w:t>
      </w:r>
      <w:r w:rsidR="001C096A">
        <w:rPr>
          <w:color w:val="222222"/>
        </w:rPr>
        <w:t>zamestnanosti/</w:t>
      </w:r>
      <w:r w:rsidRPr="00487AA9">
        <w:rPr>
          <w:color w:val="222222"/>
        </w:rPr>
        <w:t>nezamestnanosti a možností zamestnávania skupín obyvateľov starších ako 50</w:t>
      </w:r>
      <w:r w:rsidR="001C096A">
        <w:rPr>
          <w:color w:val="222222"/>
        </w:rPr>
        <w:t xml:space="preserve"> rokov</w:t>
      </w:r>
      <w:r w:rsidR="009C38C3">
        <w:rPr>
          <w:color w:val="222222"/>
        </w:rPr>
        <w:t xml:space="preserve">, </w:t>
      </w:r>
      <w:r w:rsidRPr="00487AA9">
        <w:rPr>
          <w:color w:val="222222"/>
        </w:rPr>
        <w:t xml:space="preserve"> s cieľom zistiť skutkový stav v danej oblasti a navrhnúť </w:t>
      </w:r>
      <w:r w:rsidRPr="00487AA9">
        <w:rPr>
          <w:color w:val="222222"/>
        </w:rPr>
        <w:lastRenderedPageBreak/>
        <w:t xml:space="preserve">opatrenia na zlepšenie. </w:t>
      </w:r>
      <w:r w:rsidR="00950E69">
        <w:rPr>
          <w:color w:val="222222"/>
        </w:rPr>
        <w:t>Pr</w:t>
      </w:r>
      <w:r w:rsidR="006F3A2D">
        <w:rPr>
          <w:color w:val="222222"/>
        </w:rPr>
        <w:t>i</w:t>
      </w:r>
      <w:r w:rsidR="00950E69">
        <w:rPr>
          <w:color w:val="222222"/>
        </w:rPr>
        <w:t xml:space="preserve"> selekcii niektorých konkrétnych údajov boli použité dáta zverejnené Štatistick</w:t>
      </w:r>
      <w:r w:rsidR="006F3A2D">
        <w:rPr>
          <w:color w:val="222222"/>
        </w:rPr>
        <w:t>ým</w:t>
      </w:r>
      <w:r w:rsidR="00950E69">
        <w:rPr>
          <w:color w:val="222222"/>
        </w:rPr>
        <w:t xml:space="preserve"> úrad</w:t>
      </w:r>
      <w:r w:rsidR="006F3A2D">
        <w:rPr>
          <w:color w:val="222222"/>
        </w:rPr>
        <w:t>om</w:t>
      </w:r>
      <w:r w:rsidR="00950E69">
        <w:rPr>
          <w:color w:val="222222"/>
        </w:rPr>
        <w:t xml:space="preserve"> SR</w:t>
      </w:r>
      <w:r w:rsidR="003D7251">
        <w:rPr>
          <w:color w:val="222222"/>
        </w:rPr>
        <w:t xml:space="preserve"> spolu s</w:t>
      </w:r>
      <w:r w:rsidR="006F3A2D">
        <w:rPr>
          <w:color w:val="222222"/>
        </w:rPr>
        <w:t xml:space="preserve"> následne vykonanými </w:t>
      </w:r>
      <w:r w:rsidR="00950E69">
        <w:rPr>
          <w:color w:val="222222"/>
        </w:rPr>
        <w:t>výpočt</w:t>
      </w:r>
      <w:r w:rsidR="003D7251">
        <w:rPr>
          <w:color w:val="222222"/>
        </w:rPr>
        <w:t>ami</w:t>
      </w:r>
      <w:r w:rsidR="00950E69">
        <w:rPr>
          <w:color w:val="222222"/>
        </w:rPr>
        <w:t xml:space="preserve"> a  komparácia získaných a vypočítaných údajov.</w:t>
      </w:r>
    </w:p>
    <w:p w:rsidR="002A1653" w:rsidRDefault="002A1653" w:rsidP="00FD4369">
      <w:pPr>
        <w:jc w:val="both"/>
        <w:rPr>
          <w:color w:val="222222"/>
        </w:rPr>
      </w:pPr>
      <w:r>
        <w:rPr>
          <w:color w:val="222222"/>
        </w:rPr>
        <w:t xml:space="preserve">Na bližšie objasnenie </w:t>
      </w:r>
      <w:r w:rsidR="00B64F9C">
        <w:rPr>
          <w:color w:val="222222"/>
        </w:rPr>
        <w:t xml:space="preserve">zistených </w:t>
      </w:r>
      <w:r>
        <w:rPr>
          <w:color w:val="222222"/>
        </w:rPr>
        <w:t xml:space="preserve"> sk</w:t>
      </w:r>
      <w:r w:rsidR="00B64F9C">
        <w:rPr>
          <w:color w:val="222222"/>
        </w:rPr>
        <w:t>utočností bola použitá</w:t>
      </w:r>
      <w:r>
        <w:rPr>
          <w:color w:val="222222"/>
        </w:rPr>
        <w:t xml:space="preserve"> aj osobná ko</w:t>
      </w:r>
      <w:r w:rsidR="00B64F9C">
        <w:rPr>
          <w:color w:val="222222"/>
        </w:rPr>
        <w:t xml:space="preserve">munikácia najmä so zástupcami miestnej samosprávy </w:t>
      </w:r>
      <w:r w:rsidR="001C096A">
        <w:rPr>
          <w:color w:val="222222"/>
        </w:rPr>
        <w:t>–</w:t>
      </w:r>
      <w:r w:rsidR="00B64F9C">
        <w:rPr>
          <w:color w:val="222222"/>
        </w:rPr>
        <w:t xml:space="preserve"> </w:t>
      </w:r>
      <w:r w:rsidR="001C096A">
        <w:rPr>
          <w:color w:val="222222"/>
        </w:rPr>
        <w:t xml:space="preserve">hlavne </w:t>
      </w:r>
      <w:r w:rsidR="00B64F9C">
        <w:rPr>
          <w:color w:val="222222"/>
        </w:rPr>
        <w:t>starostami</w:t>
      </w:r>
      <w:r w:rsidR="001C096A">
        <w:rPr>
          <w:color w:val="222222"/>
        </w:rPr>
        <w:t xml:space="preserve">, zástupcami MAS </w:t>
      </w:r>
      <w:r w:rsidR="00B64F9C">
        <w:rPr>
          <w:color w:val="222222"/>
        </w:rPr>
        <w:t xml:space="preserve"> a cieľovej skupiny osôb starších ako 50 rokov veku. </w:t>
      </w:r>
    </w:p>
    <w:p w:rsidR="00171FB2" w:rsidRPr="00487AA9" w:rsidRDefault="00171FB2" w:rsidP="00FD4369">
      <w:pPr>
        <w:jc w:val="both"/>
        <w:rPr>
          <w:color w:val="222222"/>
        </w:rPr>
      </w:pPr>
    </w:p>
    <w:p w:rsidR="00171FB2" w:rsidRPr="001C096A" w:rsidRDefault="00C3273B" w:rsidP="001C096A">
      <w:pPr>
        <w:pStyle w:val="Nadpis2"/>
        <w:spacing w:after="200"/>
        <w:ind w:left="710"/>
        <w:jc w:val="both"/>
        <w:rPr>
          <w:rFonts w:asciiTheme="minorHAnsi" w:hAnsiTheme="minorHAnsi"/>
        </w:rPr>
      </w:pPr>
      <w:bookmarkStart w:id="4" w:name="_Toc536769636"/>
      <w:r>
        <w:rPr>
          <w:rFonts w:asciiTheme="minorHAnsi" w:hAnsiTheme="minorHAnsi"/>
        </w:rPr>
        <w:t>1.3</w:t>
      </w:r>
      <w:r w:rsidR="009C38C3">
        <w:rPr>
          <w:b w:val="0"/>
          <w:color w:val="548DD4" w:themeColor="text2" w:themeTint="99"/>
        </w:rPr>
        <w:tab/>
      </w:r>
      <w:r w:rsidR="00FD4369" w:rsidRPr="00AD0BCD">
        <w:rPr>
          <w:rFonts w:asciiTheme="minorHAnsi" w:hAnsiTheme="minorHAnsi"/>
        </w:rPr>
        <w:t>Predmetné územie</w:t>
      </w:r>
      <w:bookmarkEnd w:id="4"/>
      <w:r w:rsidR="00FD4369">
        <w:rPr>
          <w:rFonts w:asciiTheme="minorHAnsi" w:hAnsiTheme="minorHAnsi"/>
        </w:rPr>
        <w:t xml:space="preserve"> </w:t>
      </w:r>
    </w:p>
    <w:p w:rsidR="00EF04FF" w:rsidRPr="00457081" w:rsidRDefault="00EF04FF" w:rsidP="00EF04FF">
      <w:pPr>
        <w:jc w:val="both"/>
        <w:rPr>
          <w:bCs/>
        </w:rPr>
      </w:pPr>
      <w:r w:rsidRPr="00457081">
        <w:rPr>
          <w:bCs/>
        </w:rPr>
        <w:t xml:space="preserve">Projekt sa realizuje na území Banskobystrické samosprávneho kraja. Na tomto území sa sledovali a analyzovali základné strategické regionálne dokumenty a štatistické údaje o cieľovej skupine.  </w:t>
      </w:r>
    </w:p>
    <w:p w:rsidR="00EF04FF" w:rsidRPr="00457081" w:rsidRDefault="00EF04FF" w:rsidP="00EF04FF">
      <w:pPr>
        <w:jc w:val="both"/>
      </w:pPr>
      <w:r w:rsidRPr="00457081">
        <w:rPr>
          <w:bCs/>
        </w:rPr>
        <w:t xml:space="preserve">Analýzy na lokálnej úrovni sa zmerali na územie 3 miestnych akčných skupín - </w:t>
      </w:r>
      <w:r w:rsidRPr="00457081">
        <w:t>MAS Malohont, MAS Hontiansko – Dobronivské partnerstvo, MAS Hontiansko – Novohradské partnerstvo, ktoré sa nachádzajú v</w:t>
      </w:r>
      <w:r w:rsidRPr="00457081">
        <w:rPr>
          <w:bCs/>
        </w:rPr>
        <w:t xml:space="preserve"> Banskobystrickom samosprávnom kraji</w:t>
      </w:r>
      <w:r w:rsidR="00916DB9">
        <w:rPr>
          <w:bCs/>
        </w:rPr>
        <w:t xml:space="preserve"> </w:t>
      </w:r>
      <w:r w:rsidR="00916DB9" w:rsidRPr="00457081">
        <w:rPr>
          <w:color w:val="222222"/>
        </w:rPr>
        <w:t>(</w:t>
      </w:r>
      <w:r w:rsidR="001239FA">
        <w:rPr>
          <w:color w:val="222222"/>
        </w:rPr>
        <w:t xml:space="preserve">okresy </w:t>
      </w:r>
      <w:r w:rsidR="00916DB9" w:rsidRPr="00457081">
        <w:rPr>
          <w:color w:val="222222"/>
        </w:rPr>
        <w:t>Krupina, Veľký Krtíš, Rimavská Sobota, Zvolen)</w:t>
      </w:r>
      <w:r w:rsidRPr="00457081">
        <w:t xml:space="preserve">. Uvedené MAS sú neformálnymi partnermi projektu. Na území MAS sa realizovali aj všetky ostatné prieskumy </w:t>
      </w:r>
      <w:r w:rsidRPr="00457081">
        <w:rPr>
          <w:bCs/>
        </w:rPr>
        <w:t xml:space="preserve">postavené na priamom kontakte s cieľovou skupinou </w:t>
      </w:r>
      <w:r w:rsidRPr="00457081">
        <w:t xml:space="preserve">– dotazníky, personálny audit, prieskumy, riadené rozhovory, regionálne workshopy. </w:t>
      </w:r>
    </w:p>
    <w:p w:rsidR="00EF04FF" w:rsidRPr="00457081" w:rsidRDefault="00EF04FF" w:rsidP="00EF04FF">
      <w:pPr>
        <w:jc w:val="both"/>
      </w:pPr>
      <w:r w:rsidRPr="00457081">
        <w:rPr>
          <w:noProof/>
          <w:lang w:eastAsia="sk-SK"/>
        </w:rPr>
        <w:drawing>
          <wp:inline distT="0" distB="0" distL="0" distR="0" wp14:anchorId="68C45F41" wp14:editId="50874250">
            <wp:extent cx="5760720" cy="3925570"/>
            <wp:effectExtent l="0" t="0" r="0" b="0"/>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925570"/>
                    </a:xfrm>
                    <a:prstGeom prst="rect">
                      <a:avLst/>
                    </a:prstGeom>
                  </pic:spPr>
                </pic:pic>
              </a:graphicData>
            </a:graphic>
          </wp:inline>
        </w:drawing>
      </w:r>
    </w:p>
    <w:p w:rsidR="00EF04FF" w:rsidRPr="00457081" w:rsidRDefault="00EF04FF" w:rsidP="00EF04FF">
      <w:pPr>
        <w:pStyle w:val="Odsekzoznamu"/>
        <w:spacing w:after="120"/>
        <w:ind w:firstLine="696"/>
        <w:jc w:val="both"/>
      </w:pPr>
      <w:r w:rsidRPr="00457081">
        <w:t>Mapka Banskobystrického samosprávneho kraja</w:t>
      </w:r>
    </w:p>
    <w:p w:rsidR="00EF04FF" w:rsidRPr="00457081" w:rsidRDefault="00EF04FF" w:rsidP="00EF04FF">
      <w:pPr>
        <w:pStyle w:val="Bezriadkovania"/>
        <w:spacing w:line="276" w:lineRule="auto"/>
        <w:rPr>
          <w:rFonts w:cs="Calibri"/>
          <w:sz w:val="24"/>
          <w:szCs w:val="24"/>
        </w:rPr>
      </w:pPr>
    </w:p>
    <w:p w:rsidR="00EF04FF" w:rsidRPr="00457081" w:rsidRDefault="00EF04FF" w:rsidP="00EF04FF">
      <w:pPr>
        <w:pStyle w:val="Bezriadkovania"/>
        <w:spacing w:line="276" w:lineRule="auto"/>
        <w:rPr>
          <w:rFonts w:cs="Calibri"/>
          <w:sz w:val="24"/>
          <w:szCs w:val="24"/>
        </w:rPr>
      </w:pPr>
      <w:r w:rsidRPr="00457081">
        <w:rPr>
          <w:rFonts w:cs="Calibri"/>
          <w:sz w:val="24"/>
          <w:szCs w:val="24"/>
        </w:rPr>
        <w:t xml:space="preserve">Územie </w:t>
      </w:r>
      <w:r w:rsidRPr="00457081">
        <w:rPr>
          <w:rFonts w:cs="Calibri"/>
          <w:sz w:val="24"/>
          <w:szCs w:val="24"/>
          <w:u w:val="single"/>
        </w:rPr>
        <w:t>MAS</w:t>
      </w:r>
      <w:r w:rsidRPr="00457081">
        <w:rPr>
          <w:rFonts w:cs="Calibri"/>
          <w:color w:val="231F20"/>
          <w:sz w:val="24"/>
          <w:szCs w:val="24"/>
          <w:u w:val="single"/>
        </w:rPr>
        <w:t xml:space="preserve"> Hontiansko – Dobronivské partnerstvo</w:t>
      </w:r>
      <w:r w:rsidRPr="00457081">
        <w:rPr>
          <w:rFonts w:cs="Calibri"/>
          <w:color w:val="231F20"/>
          <w:sz w:val="24"/>
          <w:szCs w:val="24"/>
        </w:rPr>
        <w:t xml:space="preserve"> mesto Krupina  a obce  </w:t>
      </w:r>
      <w:r w:rsidRPr="00457081">
        <w:rPr>
          <w:rFonts w:cs="Calibri"/>
          <w:sz w:val="24"/>
          <w:szCs w:val="24"/>
        </w:rPr>
        <w:t>Babiná, Breziny, Bzovská Lehôtka, Dobrá Niva, Pliešovce, Podzámčok, Sása, Michalková, Ostrá Lúka, Dubové, Bacúrov, Turová, Tŕnie, Budča, Hronská Breznica.</w:t>
      </w:r>
    </w:p>
    <w:p w:rsidR="00EF04FF" w:rsidRPr="00457081" w:rsidRDefault="00EF04FF" w:rsidP="00EF04FF">
      <w:pPr>
        <w:pStyle w:val="Bezriadkovania"/>
        <w:spacing w:line="276" w:lineRule="auto"/>
        <w:rPr>
          <w:rFonts w:cs="Calibri"/>
          <w:color w:val="231F20"/>
          <w:sz w:val="24"/>
          <w:szCs w:val="24"/>
        </w:rPr>
      </w:pPr>
      <w:r w:rsidRPr="00457081">
        <w:rPr>
          <w:noProof/>
          <w:color w:val="1F497D" w:themeColor="text2"/>
        </w:rPr>
        <w:drawing>
          <wp:inline distT="0" distB="0" distL="0" distR="0" wp14:anchorId="7007E102" wp14:editId="795003C8">
            <wp:extent cx="3813479" cy="4313615"/>
            <wp:effectExtent l="19050" t="0" r="0" b="0"/>
            <wp:docPr id="19" name="Obrázok 8" descr="C:\Users\Kodrík\Pictures\7a5e02387bf704ef73673ac4cddbfe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drík\Pictures\7a5e02387bf704ef73673ac4cddbfe3e.jp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l="5725" t="12158" r="7361" b="17948"/>
                    <a:stretch>
                      <a:fillRect/>
                    </a:stretch>
                  </pic:blipFill>
                  <pic:spPr bwMode="auto">
                    <a:xfrm>
                      <a:off x="0" y="0"/>
                      <a:ext cx="3813479" cy="4313615"/>
                    </a:xfrm>
                    <a:prstGeom prst="rect">
                      <a:avLst/>
                    </a:prstGeom>
                    <a:noFill/>
                    <a:ln>
                      <a:noFill/>
                    </a:ln>
                  </pic:spPr>
                </pic:pic>
              </a:graphicData>
            </a:graphic>
          </wp:inline>
        </w:drawing>
      </w:r>
    </w:p>
    <w:p w:rsidR="00EF04FF" w:rsidRPr="00457081" w:rsidRDefault="00EF04FF" w:rsidP="00EF04FF">
      <w:pPr>
        <w:spacing w:after="120"/>
        <w:ind w:left="708" w:firstLine="78"/>
        <w:jc w:val="both"/>
      </w:pPr>
      <w:r w:rsidRPr="00457081">
        <w:t>Mapka MAS Verejno-súkromné partnerstvo Hontiansko - Dobronivské</w:t>
      </w:r>
    </w:p>
    <w:p w:rsidR="00EF04FF" w:rsidRPr="00457081" w:rsidRDefault="00EF04FF" w:rsidP="00EF04FF">
      <w:pPr>
        <w:pStyle w:val="Bezriadkovania"/>
        <w:spacing w:line="276" w:lineRule="auto"/>
        <w:rPr>
          <w:rFonts w:cs="Calibri"/>
          <w:color w:val="231F20"/>
          <w:sz w:val="24"/>
          <w:szCs w:val="24"/>
        </w:rPr>
      </w:pPr>
    </w:p>
    <w:p w:rsidR="008E1C8A" w:rsidRDefault="008E1C8A" w:rsidP="00EF04FF">
      <w:pPr>
        <w:pStyle w:val="Bezriadkovania"/>
        <w:spacing w:line="276" w:lineRule="auto"/>
        <w:rPr>
          <w:rFonts w:cs="Calibri"/>
          <w:color w:val="231F20"/>
          <w:sz w:val="24"/>
          <w:szCs w:val="24"/>
        </w:rPr>
      </w:pPr>
    </w:p>
    <w:p w:rsidR="008E1C8A" w:rsidRDefault="008E1C8A" w:rsidP="00EF04FF">
      <w:pPr>
        <w:pStyle w:val="Bezriadkovania"/>
        <w:spacing w:line="276" w:lineRule="auto"/>
        <w:rPr>
          <w:rFonts w:cs="Calibri"/>
          <w:color w:val="231F20"/>
          <w:sz w:val="24"/>
          <w:szCs w:val="24"/>
        </w:rPr>
      </w:pPr>
    </w:p>
    <w:p w:rsidR="008E1C8A" w:rsidRDefault="008E1C8A" w:rsidP="00EF04FF">
      <w:pPr>
        <w:pStyle w:val="Bezriadkovania"/>
        <w:spacing w:line="276" w:lineRule="auto"/>
        <w:rPr>
          <w:rFonts w:cs="Calibri"/>
          <w:color w:val="231F20"/>
          <w:sz w:val="24"/>
          <w:szCs w:val="24"/>
        </w:rPr>
      </w:pPr>
    </w:p>
    <w:p w:rsidR="008E1C8A" w:rsidRDefault="008E1C8A" w:rsidP="00EF04FF">
      <w:pPr>
        <w:pStyle w:val="Bezriadkovania"/>
        <w:spacing w:line="276" w:lineRule="auto"/>
        <w:rPr>
          <w:rFonts w:cs="Calibri"/>
          <w:color w:val="231F20"/>
          <w:sz w:val="24"/>
          <w:szCs w:val="24"/>
        </w:rPr>
      </w:pPr>
    </w:p>
    <w:p w:rsidR="008E1C8A" w:rsidRDefault="008E1C8A" w:rsidP="00EF04FF">
      <w:pPr>
        <w:pStyle w:val="Bezriadkovania"/>
        <w:spacing w:line="276" w:lineRule="auto"/>
        <w:rPr>
          <w:rFonts w:cs="Calibri"/>
          <w:color w:val="231F20"/>
          <w:sz w:val="24"/>
          <w:szCs w:val="24"/>
        </w:rPr>
      </w:pPr>
    </w:p>
    <w:p w:rsidR="008E1C8A" w:rsidRDefault="008E1C8A" w:rsidP="00EF04FF">
      <w:pPr>
        <w:pStyle w:val="Bezriadkovania"/>
        <w:spacing w:line="276" w:lineRule="auto"/>
        <w:rPr>
          <w:rFonts w:cs="Calibri"/>
          <w:color w:val="231F20"/>
          <w:sz w:val="24"/>
          <w:szCs w:val="24"/>
        </w:rPr>
      </w:pPr>
    </w:p>
    <w:p w:rsidR="008E1C8A" w:rsidRDefault="008E1C8A" w:rsidP="00EF04FF">
      <w:pPr>
        <w:pStyle w:val="Bezriadkovania"/>
        <w:spacing w:line="276" w:lineRule="auto"/>
        <w:rPr>
          <w:rFonts w:cs="Calibri"/>
          <w:color w:val="231F20"/>
          <w:sz w:val="24"/>
          <w:szCs w:val="24"/>
        </w:rPr>
      </w:pPr>
    </w:p>
    <w:p w:rsidR="008E1C8A" w:rsidRDefault="008E1C8A" w:rsidP="00EF04FF">
      <w:pPr>
        <w:pStyle w:val="Bezriadkovania"/>
        <w:spacing w:line="276" w:lineRule="auto"/>
        <w:rPr>
          <w:rFonts w:cs="Calibri"/>
          <w:color w:val="231F20"/>
          <w:sz w:val="24"/>
          <w:szCs w:val="24"/>
        </w:rPr>
      </w:pPr>
    </w:p>
    <w:p w:rsidR="008E1C8A" w:rsidRDefault="008E1C8A" w:rsidP="00EF04FF">
      <w:pPr>
        <w:pStyle w:val="Bezriadkovania"/>
        <w:spacing w:line="276" w:lineRule="auto"/>
        <w:rPr>
          <w:rFonts w:cs="Calibri"/>
          <w:color w:val="231F20"/>
          <w:sz w:val="24"/>
          <w:szCs w:val="24"/>
        </w:rPr>
      </w:pPr>
    </w:p>
    <w:p w:rsidR="008E1C8A" w:rsidRDefault="008E1C8A" w:rsidP="00EF04FF">
      <w:pPr>
        <w:pStyle w:val="Bezriadkovania"/>
        <w:spacing w:line="276" w:lineRule="auto"/>
        <w:rPr>
          <w:rFonts w:cs="Calibri"/>
          <w:color w:val="231F20"/>
          <w:sz w:val="24"/>
          <w:szCs w:val="24"/>
        </w:rPr>
      </w:pPr>
    </w:p>
    <w:p w:rsidR="008E1C8A" w:rsidRDefault="008E1C8A" w:rsidP="00EF04FF">
      <w:pPr>
        <w:pStyle w:val="Bezriadkovania"/>
        <w:spacing w:line="276" w:lineRule="auto"/>
        <w:rPr>
          <w:rFonts w:cs="Calibri"/>
          <w:color w:val="231F20"/>
          <w:sz w:val="24"/>
          <w:szCs w:val="24"/>
        </w:rPr>
      </w:pPr>
    </w:p>
    <w:p w:rsidR="00EF04FF" w:rsidRPr="00457081" w:rsidRDefault="00EF04FF" w:rsidP="00EF04FF">
      <w:pPr>
        <w:pStyle w:val="Bezriadkovania"/>
        <w:spacing w:line="276" w:lineRule="auto"/>
        <w:rPr>
          <w:rFonts w:cs="Calibri"/>
        </w:rPr>
      </w:pPr>
      <w:r w:rsidRPr="00457081">
        <w:rPr>
          <w:rFonts w:cs="Calibri"/>
          <w:color w:val="231F20"/>
          <w:sz w:val="24"/>
          <w:szCs w:val="24"/>
        </w:rPr>
        <w:lastRenderedPageBreak/>
        <w:t>Územie</w:t>
      </w:r>
      <w:r w:rsidRPr="00457081">
        <w:rPr>
          <w:rFonts w:cs="Calibri"/>
          <w:color w:val="231F20"/>
          <w:sz w:val="24"/>
          <w:szCs w:val="24"/>
          <w:u w:val="single"/>
        </w:rPr>
        <w:t xml:space="preserve"> MAS Hontiansko - Novohradské partnerstvo</w:t>
      </w:r>
      <w:r w:rsidRPr="00457081">
        <w:rPr>
          <w:rFonts w:cs="Calibri"/>
          <w:color w:val="231F20"/>
          <w:sz w:val="24"/>
          <w:szCs w:val="24"/>
        </w:rPr>
        <w:t xml:space="preserve"> mesto </w:t>
      </w:r>
      <w:r w:rsidRPr="00457081">
        <w:rPr>
          <w:rFonts w:cs="Calibri"/>
        </w:rPr>
        <w:t>Modrý Kameň</w:t>
      </w:r>
      <w:r w:rsidRPr="00457081">
        <w:rPr>
          <w:rFonts w:cs="Calibri"/>
          <w:color w:val="231F20"/>
          <w:sz w:val="24"/>
          <w:szCs w:val="24"/>
        </w:rPr>
        <w:t xml:space="preserve"> a obce  </w:t>
      </w:r>
      <w:r w:rsidRPr="00457081">
        <w:rPr>
          <w:rFonts w:cs="Calibri"/>
          <w:sz w:val="24"/>
          <w:szCs w:val="24"/>
        </w:rPr>
        <w:t xml:space="preserve">Bzovík, Cerovo, Čabradský Vrbovok , Čekovce , Dolné Mladonice, Dolný Badín, Drieňovo , Horné Mladonice, Horný  Badín, Jalšovík, Kozí Vrbovok, Lackov, Litava, Selce, Senohrad, Trpín, Uňatín ,Zemiansky </w:t>
      </w:r>
      <w:r w:rsidRPr="00457081">
        <w:rPr>
          <w:rFonts w:cs="Calibri"/>
        </w:rPr>
        <w:t>Vrbovok, Dačov Lom, Dolné Plachtince, Horné Plachtince, Príbelce, Stredné Plachtince, Sucháň.</w:t>
      </w:r>
    </w:p>
    <w:p w:rsidR="00EF04FF" w:rsidRPr="00457081" w:rsidRDefault="00EF04FF" w:rsidP="00EF04FF">
      <w:pPr>
        <w:pStyle w:val="Bezriadkovania"/>
        <w:spacing w:line="276" w:lineRule="auto"/>
        <w:rPr>
          <w:rFonts w:cs="Calibri"/>
        </w:rPr>
      </w:pPr>
    </w:p>
    <w:p w:rsidR="00EF04FF" w:rsidRPr="00457081" w:rsidRDefault="00EF04FF" w:rsidP="00EF04FF">
      <w:pPr>
        <w:shd w:val="clear" w:color="auto" w:fill="FFFFFF"/>
        <w:jc w:val="both"/>
      </w:pPr>
      <w:r w:rsidRPr="00457081">
        <w:rPr>
          <w:noProof/>
          <w:color w:val="1F497D" w:themeColor="text2"/>
          <w:lang w:eastAsia="sk-SK"/>
        </w:rPr>
        <w:drawing>
          <wp:inline distT="0" distB="0" distL="0" distR="0" wp14:anchorId="0DAE0BD1" wp14:editId="690803A6">
            <wp:extent cx="4358944" cy="4393114"/>
            <wp:effectExtent l="19050" t="0" r="3506" b="0"/>
            <wp:docPr id="20"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5aeb8649852c173c55da8996a61a1e_nazvy_final.jpg"/>
                    <pic:cNvPicPr/>
                  </pic:nvPicPr>
                  <pic:blipFill>
                    <a:blip r:embed="rId12" cstate="print">
                      <a:extLst>
                        <a:ext uri="{28A0092B-C50C-407E-A947-70E740481C1C}">
                          <a14:useLocalDpi xmlns:a14="http://schemas.microsoft.com/office/drawing/2010/main" val="0"/>
                        </a:ext>
                      </a:extLst>
                    </a:blip>
                    <a:srcRect t="12124" b="13471"/>
                    <a:stretch>
                      <a:fillRect/>
                    </a:stretch>
                  </pic:blipFill>
                  <pic:spPr>
                    <a:xfrm>
                      <a:off x="0" y="0"/>
                      <a:ext cx="4358944" cy="4393114"/>
                    </a:xfrm>
                    <a:prstGeom prst="rect">
                      <a:avLst/>
                    </a:prstGeom>
                  </pic:spPr>
                </pic:pic>
              </a:graphicData>
            </a:graphic>
          </wp:inline>
        </w:drawing>
      </w:r>
    </w:p>
    <w:p w:rsidR="00EF04FF" w:rsidRPr="00457081" w:rsidRDefault="00EF04FF" w:rsidP="00EF04FF">
      <w:pPr>
        <w:spacing w:after="120"/>
        <w:jc w:val="both"/>
      </w:pPr>
      <w:r w:rsidRPr="00457081">
        <w:rPr>
          <w:noProof/>
          <w:lang w:eastAsia="sk-SK"/>
        </w:rPr>
        <mc:AlternateContent>
          <mc:Choice Requires="wps">
            <w:drawing>
              <wp:anchor distT="0" distB="0" distL="114300" distR="114300" simplePos="0" relativeHeight="251659264" behindDoc="0" locked="0" layoutInCell="1" allowOverlap="1" wp14:anchorId="7380F661" wp14:editId="3578E9D7">
                <wp:simplePos x="0" y="0"/>
                <wp:positionH relativeFrom="column">
                  <wp:posOffset>266065</wp:posOffset>
                </wp:positionH>
                <wp:positionV relativeFrom="paragraph">
                  <wp:posOffset>7415530</wp:posOffset>
                </wp:positionV>
                <wp:extent cx="5630545" cy="288290"/>
                <wp:effectExtent l="0" t="0" r="8255" b="0"/>
                <wp:wrapNone/>
                <wp:docPr id="77"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0545" cy="288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04FF" w:rsidRPr="00C1773B" w:rsidRDefault="00EF04FF" w:rsidP="00EF04FF">
                            <w:pPr>
                              <w:rPr>
                                <w:b/>
                              </w:rPr>
                            </w:pPr>
                            <w:r w:rsidRPr="00C1773B">
                              <w:rPr>
                                <w:b/>
                              </w:rPr>
                              <w:t xml:space="preserve">Mapka MAS Verejno-súkromné partnerstvo Hontiansko-Novohradské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0F661" id="_x0000_t202" coordsize="21600,21600" o:spt="202" path="m,l,21600r21600,l21600,xe">
                <v:stroke joinstyle="miter"/>
                <v:path gradientshapeok="t" o:connecttype="rect"/>
              </v:shapetype>
              <v:shape id="Textové pole 9" o:spid="_x0000_s1026" type="#_x0000_t202" style="position:absolute;left:0;text-align:left;margin-left:20.95pt;margin-top:583.9pt;width:443.3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" fillcolor="white [3201]" stroked="f" strokeweight=".5pt">
                <v:path arrowok="t"/>
                <v:textbox>
                  <w:txbxContent>
                    <w:p w:rsidR="00EF04FF" w:rsidRPr="00C1773B" w:rsidRDefault="00EF04FF" w:rsidP="00EF04FF">
                      <w:pPr>
                        <w:rPr>
                          <w:b/>
                        </w:rPr>
                      </w:pPr>
                      <w:r w:rsidRPr="00C1773B">
                        <w:rPr>
                          <w:b/>
                        </w:rPr>
                        <w:t xml:space="preserve">Mapka MAS Verejno-súkromné partnerstvo Hontiansko-Novohradské </w:t>
                      </w:r>
                    </w:p>
                  </w:txbxContent>
                </v:textbox>
              </v:shape>
            </w:pict>
          </mc:Fallback>
        </mc:AlternateContent>
      </w:r>
      <w:r w:rsidRPr="00457081">
        <w:t>Mapka MAS VSP Hontiansko - Novohradské</w:t>
      </w:r>
    </w:p>
    <w:p w:rsidR="00EF04FF" w:rsidRDefault="00EF04FF" w:rsidP="00EF04FF">
      <w:pPr>
        <w:shd w:val="clear" w:color="auto" w:fill="FFFFFF"/>
        <w:jc w:val="both"/>
      </w:pPr>
    </w:p>
    <w:p w:rsidR="008E1C8A" w:rsidRDefault="008E1C8A" w:rsidP="00EF04FF">
      <w:pPr>
        <w:shd w:val="clear" w:color="auto" w:fill="FFFFFF"/>
        <w:jc w:val="both"/>
      </w:pPr>
    </w:p>
    <w:p w:rsidR="008E1C8A" w:rsidRDefault="008E1C8A" w:rsidP="00EF04FF">
      <w:pPr>
        <w:shd w:val="clear" w:color="auto" w:fill="FFFFFF"/>
        <w:jc w:val="both"/>
      </w:pPr>
    </w:p>
    <w:p w:rsidR="008E1C8A" w:rsidRDefault="008E1C8A" w:rsidP="00EF04FF">
      <w:pPr>
        <w:shd w:val="clear" w:color="auto" w:fill="FFFFFF"/>
        <w:jc w:val="both"/>
      </w:pPr>
    </w:p>
    <w:p w:rsidR="008E1C8A" w:rsidRDefault="008E1C8A" w:rsidP="00EF04FF">
      <w:pPr>
        <w:shd w:val="clear" w:color="auto" w:fill="FFFFFF"/>
        <w:jc w:val="both"/>
      </w:pPr>
    </w:p>
    <w:p w:rsidR="008E1C8A" w:rsidRDefault="008E1C8A" w:rsidP="00EF04FF">
      <w:pPr>
        <w:shd w:val="clear" w:color="auto" w:fill="FFFFFF"/>
        <w:jc w:val="both"/>
      </w:pPr>
    </w:p>
    <w:p w:rsidR="008E1C8A" w:rsidRPr="00457081" w:rsidRDefault="008E1C8A" w:rsidP="00EF04FF">
      <w:pPr>
        <w:shd w:val="clear" w:color="auto" w:fill="FFFFFF"/>
        <w:jc w:val="both"/>
      </w:pPr>
    </w:p>
    <w:p w:rsidR="00EF04FF" w:rsidRPr="00457081" w:rsidRDefault="00EF04FF" w:rsidP="00EF04FF">
      <w:pPr>
        <w:shd w:val="clear" w:color="auto" w:fill="FFFFFF"/>
        <w:jc w:val="both"/>
        <w:rPr>
          <w:rFonts w:cs="Calibri"/>
          <w:color w:val="000000"/>
        </w:rPr>
      </w:pPr>
      <w:r w:rsidRPr="00457081">
        <w:lastRenderedPageBreak/>
        <w:t xml:space="preserve">Územie </w:t>
      </w:r>
      <w:r w:rsidRPr="00457081">
        <w:rPr>
          <w:u w:val="single"/>
        </w:rPr>
        <w:t>MAS MALOHONT</w:t>
      </w:r>
      <w:r w:rsidRPr="00457081">
        <w:t xml:space="preserve"> – obce  </w:t>
      </w:r>
      <w:r w:rsidRPr="00457081">
        <w:rPr>
          <w:rFonts w:cs="Calibri"/>
          <w:color w:val="000000"/>
        </w:rPr>
        <w:t>Babinec, Budikovany, Čerenčany, Dražice, Drienčany, Ďubákovo, Horné Zahorany, Hnúšťa, Hostišovce, Hrachovo, Hrnčiarska Ves, Hrnčiarske Zalužany, Hrušovo, Chvalová, Klenovec, Kraskovo, Kociha, Kokava nad Rimavicou, Kružno, Kyjatice, Lehota nad Rimavicou, Lipovec, Lukovištia, Nižný Skálnik, Ožďany, Padarovce, Poproč, Potok, Rimavská Baňa, Rimavské Brezovo, Rimavské Zalužany, Rovné, Selce, Slizké, Sušany, Šoltýska, Španie Pole, Teplý Vrch, Utekáč, Veľké Teriakovce, Veľký Blh, Vyšný Skálnik.</w:t>
      </w:r>
    </w:p>
    <w:p w:rsidR="00EF04FF" w:rsidRPr="00457081" w:rsidRDefault="00EF04FF" w:rsidP="00EF04FF"/>
    <w:p w:rsidR="00EF04FF" w:rsidRPr="00457081" w:rsidRDefault="00EF04FF" w:rsidP="00EF04FF"/>
    <w:p w:rsidR="00EF04FF" w:rsidRPr="00457081" w:rsidRDefault="00EF04FF" w:rsidP="00EF04FF">
      <w:pPr>
        <w:pStyle w:val="Odsekzoznamu"/>
        <w:spacing w:after="120"/>
        <w:ind w:firstLine="696"/>
        <w:jc w:val="both"/>
      </w:pPr>
      <w:r w:rsidRPr="00457081">
        <w:rPr>
          <w:noProof/>
          <w:lang w:eastAsia="sk-SK"/>
        </w:rPr>
        <w:drawing>
          <wp:inline distT="0" distB="0" distL="0" distR="0" wp14:anchorId="7AAFA7A8" wp14:editId="3FBFCDF8">
            <wp:extent cx="4150911" cy="4150911"/>
            <wp:effectExtent l="19050" t="0" r="1989" b="0"/>
            <wp:docPr id="21" name="Obrázok 5" descr="http://www.nsrv.sk/resources/prv20142020/data/683e9c5cb0ca5b9cdd61e95823f00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srv.sk/resources/prv20142020/data/683e9c5cb0ca5b9cdd61e95823f000b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50911" cy="4150911"/>
                    </a:xfrm>
                    <a:prstGeom prst="rect">
                      <a:avLst/>
                    </a:prstGeom>
                    <a:noFill/>
                    <a:ln>
                      <a:noFill/>
                    </a:ln>
                  </pic:spPr>
                </pic:pic>
              </a:graphicData>
            </a:graphic>
          </wp:inline>
        </w:drawing>
      </w:r>
      <w:r w:rsidRPr="00457081">
        <w:t xml:space="preserve"> </w:t>
      </w:r>
    </w:p>
    <w:p w:rsidR="00EF04FF" w:rsidRPr="00EF04FF" w:rsidRDefault="00EF04FF" w:rsidP="00EF04FF">
      <w:pPr>
        <w:pStyle w:val="Odsekzoznamu"/>
        <w:spacing w:after="120"/>
        <w:ind w:firstLine="696"/>
        <w:jc w:val="both"/>
      </w:pPr>
      <w:r w:rsidRPr="00457081">
        <w:t>Mapka MAS MALOHONT</w:t>
      </w:r>
    </w:p>
    <w:p w:rsidR="00EF04FF" w:rsidRPr="00457081" w:rsidRDefault="00EF04FF" w:rsidP="00EF04FF">
      <w:pPr>
        <w:pStyle w:val="Odsekzoznamu"/>
        <w:spacing w:after="120"/>
        <w:ind w:firstLine="696"/>
        <w:jc w:val="both"/>
      </w:pPr>
    </w:p>
    <w:p w:rsidR="008E1C8A" w:rsidRDefault="008E1C8A" w:rsidP="00EF04FF">
      <w:pPr>
        <w:jc w:val="both"/>
        <w:rPr>
          <w:color w:val="222222"/>
        </w:rPr>
      </w:pPr>
    </w:p>
    <w:p w:rsidR="00EF04FF" w:rsidRPr="00EF04FF" w:rsidRDefault="00EF04FF" w:rsidP="00EF04FF">
      <w:pPr>
        <w:jc w:val="both"/>
        <w:rPr>
          <w:color w:val="222222"/>
        </w:rPr>
      </w:pPr>
      <w:r w:rsidRPr="00457081">
        <w:rPr>
          <w:color w:val="222222"/>
        </w:rPr>
        <w:t xml:space="preserve">Prehľad všetkých okresov Banskobystrického samosprávneho kraja a výber okresov (Krupina, Veľký Krtíš, Rimavská Sobota, Zvolen), na území ktorých ležia obce 3 MAS - </w:t>
      </w:r>
      <w:r w:rsidRPr="00457081">
        <w:t>MAS Malohont, MAS Hontiansko – Dobronivské partnerstvo, MAS Hontiansko – Novohradské partnerstvo</w:t>
      </w:r>
    </w:p>
    <w:p w:rsidR="00EF04FF" w:rsidRDefault="00EF04FF" w:rsidP="00EF04FF">
      <w:pPr>
        <w:jc w:val="center"/>
        <w:rPr>
          <w:color w:val="222222"/>
        </w:rPr>
      </w:pPr>
      <w:r w:rsidRPr="00EF04FF">
        <w:rPr>
          <w:noProof/>
          <w:lang w:eastAsia="sk-SK"/>
        </w:rPr>
        <w:lastRenderedPageBreak/>
        <w:drawing>
          <wp:inline distT="0" distB="0" distL="0" distR="0" wp14:anchorId="3C4D7956" wp14:editId="55ECEFF3">
            <wp:extent cx="4572000" cy="27432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F04FF" w:rsidRDefault="00EF04FF" w:rsidP="00EF04FF">
      <w:pPr>
        <w:jc w:val="center"/>
        <w:rPr>
          <w:color w:val="222222"/>
        </w:rPr>
      </w:pPr>
      <w:r>
        <w:rPr>
          <w:noProof/>
          <w:lang w:eastAsia="sk-SK"/>
        </w:rPr>
        <w:drawing>
          <wp:inline distT="0" distB="0" distL="0" distR="0" wp14:anchorId="18053CC7" wp14:editId="48132C1C">
            <wp:extent cx="4572000" cy="274320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5B31" w:rsidRDefault="000A5B31" w:rsidP="000A5B31">
      <w:pPr>
        <w:spacing w:after="0"/>
      </w:pPr>
    </w:p>
    <w:p w:rsidR="00EF04FF" w:rsidRPr="0033282C" w:rsidRDefault="00EF04FF" w:rsidP="000A5B31">
      <w:pPr>
        <w:spacing w:after="0"/>
      </w:pPr>
    </w:p>
    <w:p w:rsidR="0011161A" w:rsidRDefault="00FD4369" w:rsidP="00EB316D">
      <w:pPr>
        <w:pStyle w:val="Nadpis2"/>
        <w:numPr>
          <w:ilvl w:val="1"/>
          <w:numId w:val="28"/>
        </w:numPr>
        <w:ind w:left="709" w:firstLine="0"/>
        <w:jc w:val="both"/>
        <w:rPr>
          <w:rFonts w:asciiTheme="minorHAnsi" w:hAnsiTheme="minorHAnsi"/>
        </w:rPr>
      </w:pPr>
      <w:bookmarkStart w:id="5" w:name="_Toc536769637"/>
      <w:r w:rsidRPr="00AD0BCD">
        <w:rPr>
          <w:rFonts w:asciiTheme="minorHAnsi" w:hAnsiTheme="minorHAnsi"/>
        </w:rPr>
        <w:t>Cieľová skupina</w:t>
      </w:r>
      <w:bookmarkEnd w:id="5"/>
      <w:r>
        <w:rPr>
          <w:rFonts w:asciiTheme="minorHAnsi" w:hAnsiTheme="minorHAnsi"/>
        </w:rPr>
        <w:t xml:space="preserve"> </w:t>
      </w:r>
    </w:p>
    <w:p w:rsidR="00540C12" w:rsidRPr="0033282C" w:rsidRDefault="00540C12" w:rsidP="00540C12">
      <w:pPr>
        <w:jc w:val="both"/>
      </w:pPr>
      <w:r w:rsidRPr="00540C12">
        <w:t>Projektový tím presnejšie definoval cieľovú skupinu  projektu 50+ ako ľudí vo vekovom rozpätí od 50 do 65 rokov v Banskobystrickom kraji, cielene v mestách a obciach na území Partnerstiev Hontiansko - Dobronivskom, Hontiansko - Novohradskom a Malohontu.</w:t>
      </w:r>
      <w:r w:rsidRPr="0033282C">
        <w:t xml:space="preserve"> </w:t>
      </w:r>
    </w:p>
    <w:p w:rsidR="00AD60D7" w:rsidRDefault="00AD60D7" w:rsidP="00FD1D46">
      <w:pPr>
        <w:jc w:val="both"/>
        <w:rPr>
          <w:color w:val="222222"/>
        </w:rPr>
      </w:pPr>
    </w:p>
    <w:p w:rsidR="008E1C8A" w:rsidRDefault="008E1C8A" w:rsidP="00FD1D46">
      <w:pPr>
        <w:jc w:val="both"/>
        <w:rPr>
          <w:color w:val="222222"/>
        </w:rPr>
      </w:pPr>
    </w:p>
    <w:p w:rsidR="00344E68" w:rsidRDefault="00AD0BCD" w:rsidP="00344E68">
      <w:pPr>
        <w:pStyle w:val="Nadpis1"/>
        <w:numPr>
          <w:ilvl w:val="0"/>
          <w:numId w:val="2"/>
        </w:numPr>
        <w:rPr>
          <w:rFonts w:asciiTheme="minorHAnsi" w:hAnsiTheme="minorHAnsi"/>
        </w:rPr>
      </w:pPr>
      <w:bookmarkStart w:id="6" w:name="_Toc536769638"/>
      <w:r w:rsidRPr="00AD0BCD">
        <w:rPr>
          <w:rFonts w:asciiTheme="minorHAnsi" w:hAnsiTheme="minorHAnsi"/>
        </w:rPr>
        <w:lastRenderedPageBreak/>
        <w:t>LEGISLATÍVNE A PROGRAMOVÉ RÁMCE</w:t>
      </w:r>
      <w:bookmarkEnd w:id="6"/>
      <w:r w:rsidRPr="00AD0BCD">
        <w:rPr>
          <w:rFonts w:asciiTheme="minorHAnsi" w:hAnsiTheme="minorHAnsi"/>
        </w:rPr>
        <w:t xml:space="preserve">  </w:t>
      </w:r>
    </w:p>
    <w:p w:rsidR="0063531C" w:rsidRDefault="0063531C" w:rsidP="001C3632"/>
    <w:p w:rsidR="0011161A" w:rsidRDefault="00AD0BCD" w:rsidP="00EB316D">
      <w:pPr>
        <w:pStyle w:val="Nadpis2"/>
        <w:numPr>
          <w:ilvl w:val="1"/>
          <w:numId w:val="29"/>
        </w:numPr>
        <w:spacing w:after="120"/>
        <w:ind w:left="709" w:firstLine="0"/>
        <w:rPr>
          <w:rFonts w:asciiTheme="minorHAnsi" w:hAnsiTheme="minorHAnsi"/>
        </w:rPr>
      </w:pPr>
      <w:bookmarkStart w:id="7" w:name="_Toc536769639"/>
      <w:r w:rsidRPr="00AD0BCD">
        <w:rPr>
          <w:rFonts w:asciiTheme="minorHAnsi" w:hAnsiTheme="minorHAnsi"/>
        </w:rPr>
        <w:t>Legislatívne rámce na národnej úrovni</w:t>
      </w:r>
      <w:bookmarkEnd w:id="7"/>
    </w:p>
    <w:p w:rsidR="000355E3" w:rsidRPr="000355E3" w:rsidRDefault="000355E3" w:rsidP="003518A8">
      <w:pPr>
        <w:spacing w:after="120"/>
        <w:jc w:val="both"/>
      </w:pPr>
      <w:r>
        <w:t xml:space="preserve">V tejto časti sú citované zákony, ktoré umožňujú riešiť </w:t>
      </w:r>
      <w:r w:rsidR="000062CD">
        <w:t xml:space="preserve">vysokú mieru nezamestnanosti a </w:t>
      </w:r>
      <w:r>
        <w:t xml:space="preserve">vytváranie pracovných miest, </w:t>
      </w:r>
      <w:r w:rsidR="000062CD">
        <w:t xml:space="preserve">a na </w:t>
      </w:r>
      <w:r>
        <w:t>rie</w:t>
      </w:r>
      <w:r w:rsidR="000062CD">
        <w:t xml:space="preserve">šenie problémov </w:t>
      </w:r>
      <w:r>
        <w:t>územnej samosprávy vydávať všeobecne záväzn</w:t>
      </w:r>
      <w:r w:rsidR="00F22CCF">
        <w:t>é</w:t>
      </w:r>
      <w:r>
        <w:t xml:space="preserve"> nariadenia a tým usmerňovať vývoj na danom území (napr. zákon o obecnom zriadení, o samosprávnych krajoch), alebo taxatívne určujú spracovanie strategických dokumentov (napr. Program hospodárskeho a sociálneho rozvoja). Konkrétne ide o</w:t>
      </w:r>
      <w:r w:rsidR="000062CD">
        <w:t xml:space="preserve"> nasledovné </w:t>
      </w:r>
      <w:r>
        <w:t>zákony</w:t>
      </w:r>
      <w:r w:rsidR="000062CD">
        <w:t>:</w:t>
      </w:r>
      <w:r>
        <w:t xml:space="preserve"> </w:t>
      </w:r>
    </w:p>
    <w:p w:rsidR="005165DB" w:rsidRDefault="004C0BA9" w:rsidP="003518A8">
      <w:pPr>
        <w:pStyle w:val="Odsekzoznamu"/>
        <w:numPr>
          <w:ilvl w:val="0"/>
          <w:numId w:val="9"/>
        </w:numPr>
        <w:spacing w:after="120"/>
        <w:jc w:val="both"/>
      </w:pPr>
      <w:r w:rsidRPr="00741EBE">
        <w:t>Zákon č. 369/1990 Zb.</w:t>
      </w:r>
      <w:r>
        <w:t xml:space="preserve"> o obecnom zriadení</w:t>
      </w:r>
      <w:r w:rsidRPr="00741EBE">
        <w:t xml:space="preserve"> v znení neskorších </w:t>
      </w:r>
      <w:r w:rsidR="005165DB">
        <w:t>zmien a doplnkov</w:t>
      </w:r>
    </w:p>
    <w:p w:rsidR="00F2738A" w:rsidRDefault="004C0BA9" w:rsidP="003518A8">
      <w:pPr>
        <w:pStyle w:val="Odsekzoznamu"/>
        <w:numPr>
          <w:ilvl w:val="0"/>
          <w:numId w:val="9"/>
        </w:numPr>
        <w:spacing w:after="120"/>
        <w:jc w:val="both"/>
      </w:pPr>
      <w:r w:rsidRPr="00741EBE">
        <w:t xml:space="preserve">Zákon č. 539/2008 Z. z. o podpore regionálneho rozvoja v znení neskorších </w:t>
      </w:r>
      <w:r w:rsidR="005165DB">
        <w:t>zmien a</w:t>
      </w:r>
      <w:r w:rsidR="00F2738A">
        <w:t> </w:t>
      </w:r>
      <w:r w:rsidR="005165DB">
        <w:t>doplnkov</w:t>
      </w:r>
    </w:p>
    <w:p w:rsidR="004C0BA9" w:rsidRDefault="004C0BA9" w:rsidP="003518A8">
      <w:pPr>
        <w:pStyle w:val="Odsekzoznamu"/>
        <w:numPr>
          <w:ilvl w:val="0"/>
          <w:numId w:val="9"/>
        </w:numPr>
        <w:spacing w:after="120"/>
        <w:jc w:val="both"/>
      </w:pPr>
      <w:r>
        <w:t>Zákon č. 448/2008 Z.</w:t>
      </w:r>
      <w:r w:rsidR="00246864">
        <w:t xml:space="preserve"> </w:t>
      </w:r>
      <w:r>
        <w:t>z. o sociálnych službách</w:t>
      </w:r>
      <w:r w:rsidR="005165DB">
        <w:t xml:space="preserve"> v znení neskorších zmien a doplnkov</w:t>
      </w:r>
    </w:p>
    <w:p w:rsidR="004C0BA9" w:rsidRDefault="004C0BA9" w:rsidP="003518A8">
      <w:pPr>
        <w:pStyle w:val="Odsekzoznamu"/>
        <w:numPr>
          <w:ilvl w:val="0"/>
          <w:numId w:val="9"/>
        </w:numPr>
        <w:spacing w:after="120"/>
        <w:jc w:val="both"/>
      </w:pPr>
      <w:r w:rsidRPr="00A753B4">
        <w:t>Zákon č. 335/2015 Z.</w:t>
      </w:r>
      <w:r w:rsidR="00F22CCF">
        <w:t xml:space="preserve"> </w:t>
      </w:r>
      <w:r w:rsidRPr="00A753B4">
        <w:t xml:space="preserve">z. o podpore najmenej rozvinutých okresov </w:t>
      </w:r>
      <w:r w:rsidR="00DC4440">
        <w:t>v znení neskorších zmien a </w:t>
      </w:r>
      <w:r w:rsidR="005165DB">
        <w:t>doplnkov</w:t>
      </w:r>
    </w:p>
    <w:p w:rsidR="004C0BA9" w:rsidRPr="00150E86" w:rsidRDefault="000355E3" w:rsidP="00D261D6">
      <w:pPr>
        <w:pStyle w:val="Odsekzoznamu"/>
        <w:numPr>
          <w:ilvl w:val="0"/>
          <w:numId w:val="9"/>
        </w:numPr>
        <w:spacing w:after="120"/>
        <w:jc w:val="both"/>
      </w:pPr>
      <w:r>
        <w:t>Zákon č.</w:t>
      </w:r>
      <w:r w:rsidR="00F22CCF">
        <w:t xml:space="preserve"> </w:t>
      </w:r>
      <w:r>
        <w:t>302/2001 Z.</w:t>
      </w:r>
      <w:r w:rsidR="00246864">
        <w:t xml:space="preserve"> </w:t>
      </w:r>
      <w:r>
        <w:t xml:space="preserve">z. </w:t>
      </w:r>
      <w:r w:rsidR="005165DB">
        <w:t>o samospráve vyšších územných celkov v znení n</w:t>
      </w:r>
      <w:r w:rsidR="00DC4440">
        <w:t>eskorších zmien a</w:t>
      </w:r>
      <w:r w:rsidR="00D261D6">
        <w:t> </w:t>
      </w:r>
      <w:r w:rsidR="00F2738A">
        <w:t>doplnkov</w:t>
      </w:r>
      <w:r w:rsidR="00D261D6">
        <w:t>.</w:t>
      </w:r>
    </w:p>
    <w:p w:rsidR="004C0BA9" w:rsidRPr="00741EBE" w:rsidRDefault="004C0BA9" w:rsidP="00AD60D7">
      <w:pPr>
        <w:jc w:val="both"/>
      </w:pPr>
      <w:r>
        <w:t xml:space="preserve">Vyššie citované </w:t>
      </w:r>
      <w:r w:rsidRPr="00741EBE">
        <w:t xml:space="preserve">zákony </w:t>
      </w:r>
      <w:r>
        <w:t xml:space="preserve">majú širokú pôsobnosť </w:t>
      </w:r>
      <w:r w:rsidR="00BB3275">
        <w:t xml:space="preserve">a vzťahujú sa </w:t>
      </w:r>
      <w:r>
        <w:t xml:space="preserve">aj </w:t>
      </w:r>
      <w:r w:rsidRPr="00741EBE">
        <w:t>na zamestnanosť</w:t>
      </w:r>
      <w:r w:rsidR="005165DB">
        <w:t xml:space="preserve">, no na </w:t>
      </w:r>
      <w:r>
        <w:t>riešen</w:t>
      </w:r>
      <w:r w:rsidR="00246864">
        <w:t>ú</w:t>
      </w:r>
      <w:r>
        <w:t xml:space="preserve"> </w:t>
      </w:r>
      <w:r w:rsidRPr="00741EBE">
        <w:t>skupin</w:t>
      </w:r>
      <w:r w:rsidR="00246864">
        <w:t>u</w:t>
      </w:r>
      <w:r w:rsidRPr="00741EBE">
        <w:t xml:space="preserve"> osôb</w:t>
      </w:r>
      <w:r>
        <w:t xml:space="preserve"> v projekte sa priamo a exaktne nevzťahujú; u</w:t>
      </w:r>
      <w:r w:rsidRPr="00741EBE">
        <w:t xml:space="preserve">pravujú len </w:t>
      </w:r>
      <w:r>
        <w:t xml:space="preserve">určité </w:t>
      </w:r>
      <w:r w:rsidR="00DC4440">
        <w:t>vzťahy a postupy súvisiace so </w:t>
      </w:r>
      <w:r w:rsidRPr="00741EBE">
        <w:t>zamestnávaním a zamestnanosťou osôb</w:t>
      </w:r>
      <w:r>
        <w:t>, čím nepriamo ovplyvňujú aj zamestnávanie osôb starších ako 50+</w:t>
      </w:r>
      <w:r w:rsidRPr="00741EBE">
        <w:t>.</w:t>
      </w:r>
    </w:p>
    <w:p w:rsidR="004C0BA9" w:rsidRDefault="004C0BA9" w:rsidP="00AD60D7">
      <w:pPr>
        <w:jc w:val="both"/>
      </w:pPr>
      <w:r w:rsidRPr="00150E86">
        <w:t xml:space="preserve">Podľa </w:t>
      </w:r>
      <w:r w:rsidRPr="00AD60D7">
        <w:rPr>
          <w:b/>
          <w:u w:val="single"/>
        </w:rPr>
        <w:t>z</w:t>
      </w:r>
      <w:r w:rsidRPr="00246864">
        <w:rPr>
          <w:b/>
          <w:u w:val="single"/>
        </w:rPr>
        <w:t>ákona č. 369/1990 Zb. o obecnom zriadení</w:t>
      </w:r>
      <w:r w:rsidRPr="00150E86">
        <w:rPr>
          <w:b/>
        </w:rPr>
        <w:t xml:space="preserve"> </w:t>
      </w:r>
      <w:r w:rsidR="00C567DA" w:rsidRPr="00EB316D">
        <w:t>v znení neskorších zmien a doplnkov</w:t>
      </w:r>
      <w:r w:rsidR="00246864">
        <w:rPr>
          <w:b/>
        </w:rPr>
        <w:t xml:space="preserve"> </w:t>
      </w:r>
      <w:r w:rsidRPr="00150E86">
        <w:t xml:space="preserve">je základnou úlohou obce pri výkone samosprávy starostlivosť o všestranný rozvoj jej územia  a o potreby jej obyvateľov </w:t>
      </w:r>
      <w:r w:rsidRPr="004068AC">
        <w:rPr>
          <w:b/>
        </w:rPr>
        <w:t>(§ 1</w:t>
      </w:r>
      <w:r w:rsidR="00C567DA" w:rsidRPr="00EB316D">
        <w:rPr>
          <w:b/>
        </w:rPr>
        <w:t>)</w:t>
      </w:r>
      <w:r w:rsidRPr="00150E86">
        <w:t>, v zmysle ktorého obec okrem iného usmerňuje ekonomickú činnosť v obci, zabezpečuje verejnoprospešné služby, môže vykonávať aj vlastnú investičnú a podnikateľskú činnosť v záujme z</w:t>
      </w:r>
      <w:r w:rsidR="00DC4440">
        <w:t xml:space="preserve">abezpečenia potrieb obyvateľov </w:t>
      </w:r>
      <w:r w:rsidRPr="004068AC">
        <w:rPr>
          <w:b/>
        </w:rPr>
        <w:t>(§ 4</w:t>
      </w:r>
      <w:r w:rsidR="00C567DA" w:rsidRPr="00EB316D">
        <w:rPr>
          <w:b/>
        </w:rPr>
        <w:t>)</w:t>
      </w:r>
      <w:r w:rsidRPr="00150E86">
        <w:t xml:space="preserve"> a taktiež môže spolupracovať a združovať sa </w:t>
      </w:r>
      <w:r w:rsidR="00576B8B">
        <w:t>v </w:t>
      </w:r>
      <w:r w:rsidRPr="00150E86">
        <w:t xml:space="preserve">združeniach v záujme zabezpečenia konkrétnych </w:t>
      </w:r>
      <w:r w:rsidRPr="009222EF">
        <w:t xml:space="preserve">úloh </w:t>
      </w:r>
      <w:r w:rsidRPr="004068AC">
        <w:rPr>
          <w:b/>
        </w:rPr>
        <w:t>(§ 20</w:t>
      </w:r>
      <w:r w:rsidR="00C567DA" w:rsidRPr="00EB316D">
        <w:rPr>
          <w:b/>
        </w:rPr>
        <w:t>)</w:t>
      </w:r>
      <w:r w:rsidRPr="009222EF">
        <w:t>.</w:t>
      </w:r>
    </w:p>
    <w:p w:rsidR="005165DB" w:rsidRPr="009222EF" w:rsidRDefault="005165DB" w:rsidP="003518A8">
      <w:pPr>
        <w:spacing w:after="120"/>
        <w:jc w:val="both"/>
      </w:pPr>
      <w:r>
        <w:t>Vo veciach územnej samosprávy a usmerňovania vývoja v</w:t>
      </w:r>
      <w:r w:rsidR="00F22CCF">
        <w:t> </w:t>
      </w:r>
      <w:r>
        <w:t>obci</w:t>
      </w:r>
      <w:r w:rsidR="00F22CCF">
        <w:t>,</w:t>
      </w:r>
      <w:r w:rsidR="00246864">
        <w:t xml:space="preserve"> obec </w:t>
      </w:r>
      <w:r>
        <w:t>vydáva v zmysle § 6 zákona všeobecne záväzné nariadenia.</w:t>
      </w:r>
    </w:p>
    <w:p w:rsidR="004C0BA9" w:rsidRPr="009222EF" w:rsidRDefault="00BB3275" w:rsidP="00AD60D7">
      <w:pPr>
        <w:jc w:val="both"/>
      </w:pPr>
      <w:r>
        <w:t xml:space="preserve">Obce v oblasti </w:t>
      </w:r>
      <w:r w:rsidR="005165DB">
        <w:t xml:space="preserve">zamestnanosti </w:t>
      </w:r>
      <w:r w:rsidR="004C0BA9" w:rsidRPr="009222EF">
        <w:t xml:space="preserve"> využívajú </w:t>
      </w:r>
      <w:r>
        <w:t>možnosť zriaďovania</w:t>
      </w:r>
      <w:r w:rsidR="004C0BA9" w:rsidRPr="009222EF">
        <w:t xml:space="preserve"> obecných podnikov, hlavne so zameraním na verejnoprospešné práce a </w:t>
      </w:r>
      <w:r w:rsidR="00F2738A" w:rsidRPr="009222EF">
        <w:t>investičnú</w:t>
      </w:r>
      <w:r w:rsidR="004C0BA9" w:rsidRPr="009222EF">
        <w:t xml:space="preserve"> činnosť. Pri zamestnávaní občanov nie je prihliadané na ich vek.</w:t>
      </w:r>
    </w:p>
    <w:p w:rsidR="004C0BA9" w:rsidRDefault="005165DB" w:rsidP="00AD60D7">
      <w:pPr>
        <w:jc w:val="both"/>
      </w:pPr>
      <w:r w:rsidRPr="00246864">
        <w:rPr>
          <w:b/>
          <w:u w:val="single"/>
        </w:rPr>
        <w:t>Z</w:t>
      </w:r>
      <w:r w:rsidR="004C0BA9" w:rsidRPr="00246864">
        <w:rPr>
          <w:b/>
          <w:u w:val="single"/>
        </w:rPr>
        <w:t>ákon č. 539/2008 Z. z. o podpore regionálneho rozvoja</w:t>
      </w:r>
      <w:r w:rsidR="004C0BA9" w:rsidRPr="00150E86">
        <w:t xml:space="preserve"> </w:t>
      </w:r>
      <w:r w:rsidR="00246864">
        <w:t xml:space="preserve">v znení neskorších zmien a doplnkov </w:t>
      </w:r>
      <w:r w:rsidR="004C0BA9" w:rsidRPr="00150E86">
        <w:t>definuje len ciele, rámce, postupy a vzťahy regionálneho rozvoja ako celku, ktorý zahŕňa aj oblasť zame</w:t>
      </w:r>
      <w:r w:rsidR="00DC4440">
        <w:t>stnanosti, no pritom priamo </w:t>
      </w:r>
      <w:r w:rsidR="004C0BA9" w:rsidRPr="00150E86">
        <w:t>zamestnávanie konkrétnych skupín osôb neupravuje</w:t>
      </w:r>
      <w:r w:rsidR="004C0BA9">
        <w:t>.</w:t>
      </w:r>
    </w:p>
    <w:p w:rsidR="004C0BA9" w:rsidRPr="00150E86" w:rsidRDefault="004C0BA9" w:rsidP="003518A8">
      <w:pPr>
        <w:spacing w:after="120"/>
        <w:jc w:val="both"/>
      </w:pPr>
      <w:r w:rsidRPr="00150E86">
        <w:t xml:space="preserve">Podľa </w:t>
      </w:r>
      <w:r w:rsidRPr="00BB3275">
        <w:rPr>
          <w:b/>
        </w:rPr>
        <w:t>§ 3</w:t>
      </w:r>
      <w:r w:rsidRPr="00150E86">
        <w:t xml:space="preserve"> zákona je hlavným cieľom podpory regionálneho rozvoja:</w:t>
      </w:r>
    </w:p>
    <w:p w:rsidR="004C0BA9" w:rsidRPr="00150E86" w:rsidRDefault="004C0BA9" w:rsidP="003518A8">
      <w:pPr>
        <w:pStyle w:val="Odsekzoznamu"/>
        <w:numPr>
          <w:ilvl w:val="0"/>
          <w:numId w:val="6"/>
        </w:numPr>
        <w:spacing w:after="120"/>
        <w:jc w:val="both"/>
      </w:pPr>
      <w:r w:rsidRPr="00150E86">
        <w:t>odstraňovať alebo zmierňovať nežiaduce rozdiely v úrovni hospodárskeho, sociálneho a územného rozvoja a zabezpečiť trvalo udržateľný rozvoj regiónov,</w:t>
      </w:r>
    </w:p>
    <w:p w:rsidR="004C0BA9" w:rsidRPr="00150E86" w:rsidRDefault="004C0BA9" w:rsidP="003518A8">
      <w:pPr>
        <w:pStyle w:val="Odsekzoznamu"/>
        <w:numPr>
          <w:ilvl w:val="0"/>
          <w:numId w:val="6"/>
        </w:numPr>
        <w:spacing w:after="120"/>
        <w:jc w:val="both"/>
      </w:pPr>
      <w:r w:rsidRPr="00150E86">
        <w:lastRenderedPageBreak/>
        <w:t>zvyšovať ekonomický výkonnosť a životnú úroveň obyvateľov v regiónoch,</w:t>
      </w:r>
    </w:p>
    <w:p w:rsidR="004C0BA9" w:rsidRPr="00150E86" w:rsidRDefault="004C0BA9" w:rsidP="003518A8">
      <w:pPr>
        <w:pStyle w:val="Odsekzoznamu"/>
        <w:numPr>
          <w:ilvl w:val="0"/>
          <w:numId w:val="6"/>
        </w:numPr>
        <w:spacing w:after="120"/>
        <w:jc w:val="both"/>
      </w:pPr>
      <w:r w:rsidRPr="00150E86">
        <w:rPr>
          <w:b/>
          <w:i/>
        </w:rPr>
        <w:t>zvyšovať zamestnanosť</w:t>
      </w:r>
      <w:r w:rsidRPr="00150E86">
        <w:t xml:space="preserve"> a životnú úroveň obyvateľov v regiónoch pri zabezpečení trvalo udržateľného rozvoja. </w:t>
      </w:r>
    </w:p>
    <w:p w:rsidR="004C0BA9" w:rsidRPr="00150E86" w:rsidRDefault="004C0BA9" w:rsidP="003518A8">
      <w:pPr>
        <w:spacing w:after="120"/>
        <w:jc w:val="both"/>
      </w:pPr>
      <w:r w:rsidRPr="00150E86">
        <w:t xml:space="preserve">So zamestnanosťou a zamestnávaním osôb všeobecne a teda aj vo veku 50+, súvisia </w:t>
      </w:r>
      <w:r w:rsidR="00246864">
        <w:t xml:space="preserve">vo všeobecnosti </w:t>
      </w:r>
      <w:r w:rsidRPr="00150E86">
        <w:t>aj nasledovné vybrané oblasti podpory regionálneho rozvoja definované v § 3, ods</w:t>
      </w:r>
      <w:r>
        <w:t>.</w:t>
      </w:r>
      <w:r w:rsidRPr="00150E86">
        <w:t xml:space="preserve"> 2 vyššie </w:t>
      </w:r>
      <w:r>
        <w:t xml:space="preserve">citovaného </w:t>
      </w:r>
      <w:r w:rsidRPr="00150E86">
        <w:t xml:space="preserve">zákona: </w:t>
      </w:r>
    </w:p>
    <w:p w:rsidR="004C0BA9" w:rsidRPr="00150E86" w:rsidRDefault="004C0BA9" w:rsidP="003518A8">
      <w:pPr>
        <w:pStyle w:val="Odsekzoznamu"/>
        <w:numPr>
          <w:ilvl w:val="0"/>
          <w:numId w:val="8"/>
        </w:numPr>
        <w:spacing w:after="120"/>
        <w:jc w:val="both"/>
      </w:pPr>
      <w:r w:rsidRPr="00150E86">
        <w:t xml:space="preserve">komplexné využívanie vnútorného rozvojového potenciálu územia – prírodných, kultúrnych, materiálnych, finančných, ľudských a inštitucionálnych zdrojov, </w:t>
      </w:r>
    </w:p>
    <w:p w:rsidR="004C0BA9" w:rsidRPr="00741EBE" w:rsidRDefault="004C0BA9" w:rsidP="003518A8">
      <w:pPr>
        <w:pStyle w:val="Odsekzoznamu"/>
        <w:numPr>
          <w:ilvl w:val="0"/>
          <w:numId w:val="8"/>
        </w:numPr>
        <w:spacing w:after="120"/>
        <w:jc w:val="both"/>
      </w:pPr>
      <w:r w:rsidRPr="00741EBE">
        <w:t>rozvoj hospodárstva a podnikateľského prostredia v regióne s cieľom zvýšiť jeho produktivitu, optimalizovať štruktúru hospodárstva, vytvárať nové pracovné miesta a stabilizovať ohrozené pracovné miesta,</w:t>
      </w:r>
    </w:p>
    <w:p w:rsidR="004C0BA9" w:rsidRPr="00741EBE" w:rsidRDefault="004C0BA9" w:rsidP="003518A8">
      <w:pPr>
        <w:pStyle w:val="Odsekzoznamu"/>
        <w:numPr>
          <w:ilvl w:val="0"/>
          <w:numId w:val="8"/>
        </w:numPr>
        <w:spacing w:after="120"/>
        <w:jc w:val="both"/>
      </w:pPr>
      <w:r w:rsidRPr="00741EBE">
        <w:t xml:space="preserve">rozvoj ľudských zdrojov </w:t>
      </w:r>
      <w:r w:rsidR="00745C0B">
        <w:t>v</w:t>
      </w:r>
      <w:r w:rsidRPr="00741EBE">
        <w:t>rátane zvyšovania vzdelanostnej úrovne, kvalifikácie a zlepšovania prípravy detí a mladých dospelých na trh práce,</w:t>
      </w:r>
    </w:p>
    <w:p w:rsidR="004C0BA9" w:rsidRPr="00741EBE" w:rsidRDefault="004C0BA9" w:rsidP="003518A8">
      <w:pPr>
        <w:pStyle w:val="Odsekzoznamu"/>
        <w:numPr>
          <w:ilvl w:val="0"/>
          <w:numId w:val="8"/>
        </w:numPr>
        <w:spacing w:after="120"/>
        <w:jc w:val="both"/>
      </w:pPr>
      <w:r w:rsidRPr="00741EBE">
        <w:t>predchádzanie sociálneho vylúčenia a zmierňovanie jeho negatívnych dôsledkov, podporu rovnosti príležitostí na trhu práce a podporu znevýhodnených komunít,</w:t>
      </w:r>
    </w:p>
    <w:p w:rsidR="004C0BA9" w:rsidRDefault="004C0BA9" w:rsidP="00AD60D7">
      <w:pPr>
        <w:pStyle w:val="Odsekzoznamu"/>
        <w:numPr>
          <w:ilvl w:val="0"/>
          <w:numId w:val="8"/>
        </w:numPr>
        <w:jc w:val="both"/>
      </w:pPr>
      <w:r w:rsidRPr="00741EBE">
        <w:t>realizácia verejných prác podporujúcich rozvoj región</w:t>
      </w:r>
      <w:r w:rsidR="00745C0B">
        <w:t>u</w:t>
      </w:r>
      <w:r w:rsidRPr="00741EBE">
        <w:t>.</w:t>
      </w:r>
    </w:p>
    <w:p w:rsidR="00FE3660" w:rsidRDefault="00FE3660" w:rsidP="00FE3660">
      <w:pPr>
        <w:spacing w:after="120"/>
        <w:jc w:val="both"/>
      </w:pPr>
      <w:r>
        <w:t xml:space="preserve">Podpora regionálneho rozvoja sa podľa </w:t>
      </w:r>
      <w:r w:rsidRPr="00BB3275">
        <w:rPr>
          <w:b/>
        </w:rPr>
        <w:t>§ 4</w:t>
      </w:r>
      <w:r>
        <w:t xml:space="preserve"> zákona 539/2008 Z. z. o podpore regionálneho rozvoja v znení neskorších zmien a doplnkov vykonáva podľa nasledujúcich dokumentov: </w:t>
      </w:r>
    </w:p>
    <w:p w:rsidR="00FE3660" w:rsidRDefault="00FE3660" w:rsidP="00FE3660">
      <w:pPr>
        <w:pStyle w:val="Odsekzoznamu"/>
        <w:numPr>
          <w:ilvl w:val="0"/>
          <w:numId w:val="8"/>
        </w:numPr>
        <w:spacing w:after="120"/>
        <w:jc w:val="both"/>
      </w:pPr>
      <w:r>
        <w:t>programu rozvoja vyššieho územného celku,</w:t>
      </w:r>
    </w:p>
    <w:p w:rsidR="00FE3660" w:rsidRDefault="00FE3660" w:rsidP="00FE3660">
      <w:pPr>
        <w:pStyle w:val="Odsekzoznamu"/>
        <w:numPr>
          <w:ilvl w:val="0"/>
          <w:numId w:val="8"/>
        </w:numPr>
        <w:spacing w:after="120"/>
        <w:jc w:val="both"/>
      </w:pPr>
      <w:r>
        <w:t>programu rozvoja obce,</w:t>
      </w:r>
    </w:p>
    <w:p w:rsidR="00FE3660" w:rsidRDefault="00FE3660" w:rsidP="00FE3660">
      <w:pPr>
        <w:pStyle w:val="Odsekzoznamu"/>
        <w:numPr>
          <w:ilvl w:val="0"/>
          <w:numId w:val="8"/>
        </w:numPr>
        <w:spacing w:after="120"/>
        <w:jc w:val="both"/>
      </w:pPr>
      <w:r>
        <w:t xml:space="preserve">spoločného programu rozvoja obcí, </w:t>
      </w:r>
    </w:p>
    <w:p w:rsidR="00FE3660" w:rsidRDefault="00FE3660" w:rsidP="00FE3660">
      <w:pPr>
        <w:spacing w:after="120"/>
        <w:jc w:val="both"/>
      </w:pPr>
      <w:r>
        <w:t>ktoré sa podobne, ako legislatíva uvedená v časti 1.2, dotýkajú širokého spektra oblastí rozvoja vrátane zamestnanosti, ktorá je základnou podmienkou zvyšovania životnej úrovne obyvateľstva, pričom zvyšovanie životnej úrovne je aj súčasťou troch hlavných cieľov podpory regionálneho rozvoja.</w:t>
      </w:r>
    </w:p>
    <w:p w:rsidR="00FE3660" w:rsidRDefault="00FE3660" w:rsidP="00FE3660">
      <w:pPr>
        <w:spacing w:after="120"/>
        <w:jc w:val="both"/>
      </w:pPr>
      <w:r w:rsidRPr="002F0CE6">
        <w:rPr>
          <w:b/>
          <w:u w:val="single"/>
        </w:rPr>
        <w:t>Program rozvoja vyššieho územného celku</w:t>
      </w:r>
      <w:r w:rsidRPr="00CA3B75">
        <w:t xml:space="preserve"> </w:t>
      </w:r>
      <w:r>
        <w:t xml:space="preserve">(ďalej VÚC) je strednodobý rozvojový dokument kraja, ktorý VÚC vypracováva v spolupráci so všetkými kľúčovými aktérmi regionálneho rozvoja na území kraja v súlade s cieľmi a prioritami národnej stratégie regionálneho rozvoja a programovými dokumentmi Európskej Únie pre príslušné programové obdobie. Programy rozvoja sa pre súčasné programové obdobie vypracovávali podľa „Metodiky tvorby programov hospodárskeho a sociálneho rozvoja obce/obcí/VÚC“ zverejnenej na webovej stránke Úradu vlády SR (predtým pred prechodom kompetencií v oblasti regionálneho rozvoja na Úrad vlády SR na stránke Ministerstva dopravy, výstavby a regionálneho rozvoja SR).  </w:t>
      </w:r>
    </w:p>
    <w:p w:rsidR="00FE3660" w:rsidRDefault="00FE3660" w:rsidP="00FE3660">
      <w:pPr>
        <w:spacing w:after="120"/>
        <w:jc w:val="both"/>
      </w:pPr>
      <w:r w:rsidRPr="002F0CE6">
        <w:rPr>
          <w:rFonts w:cs="Times New Roman"/>
          <w:b/>
          <w:u w:val="single"/>
        </w:rPr>
        <w:t>Program hospodárskeho rozvoja a sociálneho rozvoja</w:t>
      </w:r>
      <w:r>
        <w:rPr>
          <w:rFonts w:cs="Times New Roman"/>
        </w:rPr>
        <w:t xml:space="preserve"> (ďalej PHSR),</w:t>
      </w:r>
      <w:r w:rsidRPr="00686832">
        <w:rPr>
          <w:rFonts w:cs="Times New Roman"/>
        </w:rPr>
        <w:t xml:space="preserve"> spolu s územným plánom, je základným a kľúčovým dokumentom pre riadenie samosprávy</w:t>
      </w:r>
      <w:r>
        <w:rPr>
          <w:rFonts w:cs="Times New Roman"/>
        </w:rPr>
        <w:t xml:space="preserve"> a regionálny rozvoj</w:t>
      </w:r>
      <w:r w:rsidRPr="00686832">
        <w:rPr>
          <w:rFonts w:cs="Times New Roman"/>
        </w:rPr>
        <w:t xml:space="preserve">, ktorý </w:t>
      </w:r>
      <w:r w:rsidRPr="00D012BD">
        <w:rPr>
          <w:rFonts w:cs="Times New Roman"/>
        </w:rPr>
        <w:t xml:space="preserve">vychádza z poznania </w:t>
      </w:r>
      <w:r>
        <w:rPr>
          <w:rFonts w:cs="Times New Roman"/>
        </w:rPr>
        <w:t xml:space="preserve">a analýzy </w:t>
      </w:r>
      <w:r w:rsidRPr="00D012BD">
        <w:rPr>
          <w:rFonts w:cs="Times New Roman"/>
        </w:rPr>
        <w:t>situácie a potrieb obyvateľov, podnikateľov a ostatných subjektov a záujmových skupín príslušného územia.</w:t>
      </w:r>
      <w:r>
        <w:rPr>
          <w:rFonts w:cs="Times New Roman"/>
        </w:rPr>
        <w:t xml:space="preserve"> PHSR ako základný strategický dokument j</w:t>
      </w:r>
      <w:r w:rsidRPr="00DF4FEE">
        <w:t xml:space="preserve">e základným nástrojom regionálneho rozvoja </w:t>
      </w:r>
      <w:r>
        <w:t xml:space="preserve">kraja. Okrem územnej, kultúrno-historickej a sociálno-ekonomickej analýzy obsahuje aj strategickú, programovú, realizačnú a finančnú časť, podlieha posudzovaniu vplyvov </w:t>
      </w:r>
      <w:r>
        <w:lastRenderedPageBreak/>
        <w:t xml:space="preserve">na životné prostredie </w:t>
      </w:r>
      <w:r w:rsidR="001262A0" w:rsidRPr="00150E86">
        <w:t>–</w:t>
      </w:r>
      <w:r>
        <w:t xml:space="preserve"> tzv. EIA hodnoteniu (</w:t>
      </w:r>
      <w:proofErr w:type="spellStart"/>
      <w:r w:rsidRPr="00573A7C">
        <w:rPr>
          <w:rStyle w:val="Zvraznenie"/>
          <w:b/>
          <w:i w:val="0"/>
        </w:rPr>
        <w:t>E</w:t>
      </w:r>
      <w:r w:rsidRPr="00573A7C">
        <w:rPr>
          <w:rStyle w:val="Zvraznenie"/>
          <w:i w:val="0"/>
        </w:rPr>
        <w:t>nvironmental</w:t>
      </w:r>
      <w:proofErr w:type="spellEnd"/>
      <w:r w:rsidRPr="00573A7C">
        <w:rPr>
          <w:rStyle w:val="Zvraznenie"/>
          <w:i w:val="0"/>
        </w:rPr>
        <w:t xml:space="preserve"> </w:t>
      </w:r>
      <w:proofErr w:type="spellStart"/>
      <w:r w:rsidRPr="00573A7C">
        <w:rPr>
          <w:rStyle w:val="Zvraznenie"/>
          <w:b/>
          <w:i w:val="0"/>
        </w:rPr>
        <w:t>I</w:t>
      </w:r>
      <w:r w:rsidRPr="00573A7C">
        <w:rPr>
          <w:rStyle w:val="Zvraznenie"/>
          <w:i w:val="0"/>
        </w:rPr>
        <w:t>mpact</w:t>
      </w:r>
      <w:proofErr w:type="spellEnd"/>
      <w:r w:rsidRPr="00573A7C">
        <w:rPr>
          <w:rStyle w:val="Zvraznenie"/>
          <w:i w:val="0"/>
        </w:rPr>
        <w:t xml:space="preserve"> </w:t>
      </w:r>
      <w:proofErr w:type="spellStart"/>
      <w:r w:rsidRPr="00573A7C">
        <w:rPr>
          <w:rStyle w:val="Zvraznenie"/>
          <w:b/>
          <w:i w:val="0"/>
        </w:rPr>
        <w:t>A</w:t>
      </w:r>
      <w:r w:rsidRPr="00573A7C">
        <w:rPr>
          <w:rStyle w:val="Zvraznenie"/>
          <w:i w:val="0"/>
        </w:rPr>
        <w:t>ssessment</w:t>
      </w:r>
      <w:proofErr w:type="spellEnd"/>
      <w:r>
        <w:rPr>
          <w:rStyle w:val="Zvraznenie"/>
        </w:rPr>
        <w:t>)</w:t>
      </w:r>
      <w:r>
        <w:rPr>
          <w:rStyle w:val="st"/>
        </w:rPr>
        <w:t xml:space="preserve"> </w:t>
      </w:r>
      <w:r>
        <w:t>a schvaľuje ho zastupiteľstvo príslušného VÚC na určené obdobie.</w:t>
      </w:r>
    </w:p>
    <w:p w:rsidR="00FE3660" w:rsidRDefault="00FE3660" w:rsidP="00FE3660">
      <w:pPr>
        <w:spacing w:after="120"/>
        <w:jc w:val="both"/>
      </w:pPr>
      <w:r>
        <w:t xml:space="preserve">Obdobne aj </w:t>
      </w:r>
      <w:r w:rsidRPr="00601BF8">
        <w:t xml:space="preserve">obec </w:t>
      </w:r>
      <w:r>
        <w:t>podľa</w:t>
      </w:r>
      <w:r w:rsidRPr="00601BF8">
        <w:t xml:space="preserve"> </w:t>
      </w:r>
      <w:r>
        <w:t>z</w:t>
      </w:r>
      <w:r w:rsidRPr="00601BF8">
        <w:t xml:space="preserve">ákona 539/2008 Z. z. o podpore regionálneho rozvoja </w:t>
      </w:r>
      <w:r w:rsidRPr="004D2172">
        <w:rPr>
          <w:rFonts w:cs="Times New Roman"/>
        </w:rPr>
        <w:t>v znení zákona č.</w:t>
      </w:r>
      <w:r>
        <w:rPr>
          <w:rFonts w:cs="Times New Roman"/>
        </w:rPr>
        <w:t> </w:t>
      </w:r>
      <w:r w:rsidRPr="004D2172">
        <w:rPr>
          <w:rFonts w:cs="Times New Roman"/>
        </w:rPr>
        <w:t>309/2014 Z. z.</w:t>
      </w:r>
      <w:r w:rsidRPr="00601BF8">
        <w:t xml:space="preserve"> vypracováva a realizuje </w:t>
      </w:r>
      <w:r>
        <w:t>PHSR, resp. združenie obcí spoločný program hospodárskeho rozvoja a sociálneho rozvoja</w:t>
      </w:r>
      <w:r w:rsidRPr="00601BF8">
        <w:t xml:space="preserve"> za účelom zabezpečenia takých podmienok života v da</w:t>
      </w:r>
      <w:r>
        <w:t>nom území</w:t>
      </w:r>
      <w:r w:rsidRPr="00601BF8">
        <w:t xml:space="preserve">, ktoré povedú k zvýšeniu zamestnanosti a životnej úrovni jej obyvateľov. </w:t>
      </w:r>
    </w:p>
    <w:p w:rsidR="00BB3275" w:rsidRDefault="00BB3275" w:rsidP="00BB3275">
      <w:pPr>
        <w:jc w:val="both"/>
      </w:pPr>
      <w:r>
        <w:t xml:space="preserve">Do legislatívneho rámca k riešenej problematike zamestnanosti 5O+ projektu možno zaradiť aj </w:t>
      </w:r>
      <w:r w:rsidRPr="00246864">
        <w:rPr>
          <w:b/>
          <w:u w:val="single"/>
        </w:rPr>
        <w:t>zákon č. 448/2008 Z. z. o sociálnych službách</w:t>
      </w:r>
      <w:r>
        <w:t xml:space="preserve"> v znení neskorších predpisov, kde v zmysle </w:t>
      </w:r>
      <w:r w:rsidRPr="004068AC">
        <w:rPr>
          <w:b/>
        </w:rPr>
        <w:t xml:space="preserve">§ 80 </w:t>
      </w:r>
      <w:r>
        <w:t xml:space="preserve">obce vypracovávajú komunitný plán rozvoja sociálnych služieb obce zameraný na ohrozené skupiny obyvateľov ako aj na prechádzanie sociálnemu vylúčeniu a sociálnej izolácii ohrozených jednotlivcov a skupín, medzi ktoré možno jednoznačne zahrnúť aj nezamestnané osoby vo veku 50+. </w:t>
      </w:r>
    </w:p>
    <w:p w:rsidR="00BB3275" w:rsidRDefault="00BB3275" w:rsidP="00BB3275">
      <w:pPr>
        <w:spacing w:after="120"/>
        <w:jc w:val="both"/>
      </w:pPr>
      <w:r>
        <w:t xml:space="preserve">Cieľom komunitného plánovania sociálnych služieb je: </w:t>
      </w:r>
    </w:p>
    <w:p w:rsidR="00BB3275" w:rsidRDefault="00BB3275" w:rsidP="00BB3275">
      <w:pPr>
        <w:pStyle w:val="Odsekzoznamu"/>
        <w:numPr>
          <w:ilvl w:val="0"/>
          <w:numId w:val="12"/>
        </w:numPr>
        <w:spacing w:after="120"/>
        <w:ind w:left="851"/>
        <w:jc w:val="both"/>
      </w:pPr>
      <w:r>
        <w:t xml:space="preserve">posilňovať sociálnu súdržnosť všetkých obyvateľov obce; </w:t>
      </w:r>
    </w:p>
    <w:p w:rsidR="00BB3275" w:rsidRDefault="00BB3275" w:rsidP="00BB3275">
      <w:pPr>
        <w:pStyle w:val="Odsekzoznamu"/>
        <w:numPr>
          <w:ilvl w:val="0"/>
          <w:numId w:val="12"/>
        </w:numPr>
        <w:spacing w:after="120"/>
        <w:ind w:left="851"/>
        <w:jc w:val="both"/>
      </w:pPr>
      <w:r>
        <w:t xml:space="preserve">predísť sociálnemu vylúčeniu a sociálnej izolácii ohrozených jednotlivcov a skupín a opäť </w:t>
      </w:r>
      <w:r w:rsidRPr="009222EF">
        <w:t xml:space="preserve">vtiahnuť do života komunity </w:t>
      </w:r>
      <w:r>
        <w:t>tých, ktorí stoja na jej okraji, teda aj skupinu nezamestnaných obyvateľov starších ako 50 +.</w:t>
      </w:r>
    </w:p>
    <w:p w:rsidR="00BB3275" w:rsidRPr="00344E68" w:rsidRDefault="00BB3275" w:rsidP="00BB3275">
      <w:pPr>
        <w:spacing w:after="120"/>
        <w:jc w:val="both"/>
      </w:pPr>
      <w:r>
        <w:t xml:space="preserve">V zmysle zákona je sociálna služba definovaná ako odborná činnosť, obslužná činnosť alebo iná činnosť, alebo súbor týchto činností, ktoré sú zamerané na: </w:t>
      </w:r>
    </w:p>
    <w:p w:rsidR="00BB3275" w:rsidRDefault="00BB3275" w:rsidP="00BB3275">
      <w:pPr>
        <w:pStyle w:val="Odsekzoznamu"/>
        <w:numPr>
          <w:ilvl w:val="0"/>
          <w:numId w:val="8"/>
        </w:numPr>
        <w:spacing w:after="120"/>
        <w:jc w:val="both"/>
      </w:pPr>
      <w:r>
        <w:t xml:space="preserve">prevenciu vzniku nepriaznivej sociálnej situácie, riešenie nepriaznivej sociálnej situácie alebo zmiernenie nepriaznivej sociálnej situácie fyzickej osoby, rodiny alebo komunity, </w:t>
      </w:r>
    </w:p>
    <w:p w:rsidR="00BB3275" w:rsidRDefault="00BB3275" w:rsidP="00BB3275">
      <w:pPr>
        <w:pStyle w:val="Odsekzoznamu"/>
        <w:numPr>
          <w:ilvl w:val="0"/>
          <w:numId w:val="8"/>
        </w:numPr>
        <w:spacing w:after="120"/>
        <w:jc w:val="both"/>
      </w:pPr>
      <w:r>
        <w:t xml:space="preserve">zachovanie, obnovu alebo rozvoj schopnosti fyzickej osoby viesť samostatný život a na podporu jej začlenenia do spoločnosti, </w:t>
      </w:r>
    </w:p>
    <w:p w:rsidR="00BB3275" w:rsidRDefault="00BB3275" w:rsidP="00BB3275">
      <w:pPr>
        <w:pStyle w:val="Odsekzoznamu"/>
        <w:numPr>
          <w:ilvl w:val="0"/>
          <w:numId w:val="8"/>
        </w:numPr>
        <w:spacing w:after="120"/>
        <w:jc w:val="both"/>
      </w:pPr>
      <w:r>
        <w:t>zabezpečenie nevyhnut</w:t>
      </w:r>
      <w:r w:rsidR="001262A0">
        <w:t>n</w:t>
      </w:r>
      <w:r>
        <w:t xml:space="preserve">ých podmienok na uspokojovanie základných životných potrieb fyzickej osoby, </w:t>
      </w:r>
    </w:p>
    <w:p w:rsidR="00BB3275" w:rsidRDefault="00BB3275" w:rsidP="00BB3275">
      <w:pPr>
        <w:pStyle w:val="Odsekzoznamu"/>
        <w:numPr>
          <w:ilvl w:val="0"/>
          <w:numId w:val="8"/>
        </w:numPr>
        <w:jc w:val="both"/>
      </w:pPr>
      <w:r>
        <w:t xml:space="preserve">riešenie krízovej sociálnej situácie fyzickej osoby a rodiny, prevenciu sociálneho vylúčenia fyzickej osoby a rodiny. </w:t>
      </w:r>
    </w:p>
    <w:p w:rsidR="00BB3275" w:rsidRDefault="00BB3275" w:rsidP="00BB3275">
      <w:pPr>
        <w:jc w:val="both"/>
        <w:rPr>
          <w:rFonts w:ascii="Calibri" w:hAnsi="Calibri" w:cs="Arial"/>
          <w:color w:val="000000"/>
          <w:shd w:val="clear" w:color="auto" w:fill="FFFFFF"/>
        </w:rPr>
      </w:pPr>
      <w:r>
        <w:t>V </w:t>
      </w:r>
      <w:r w:rsidRPr="00246864">
        <w:rPr>
          <w:b/>
          <w:u w:val="single"/>
        </w:rPr>
        <w:t xml:space="preserve">zákone č. </w:t>
      </w:r>
      <w:r w:rsidRPr="00BC50CE">
        <w:rPr>
          <w:b/>
          <w:u w:val="single"/>
        </w:rPr>
        <w:t>336/2015 Z.</w:t>
      </w:r>
      <w:r w:rsidRPr="0080569C">
        <w:rPr>
          <w:b/>
          <w:color w:val="FF0000"/>
          <w:u w:val="single"/>
        </w:rPr>
        <w:t xml:space="preserve"> </w:t>
      </w:r>
      <w:r w:rsidRPr="00246864">
        <w:rPr>
          <w:b/>
          <w:u w:val="single"/>
        </w:rPr>
        <w:t>z.</w:t>
      </w:r>
      <w:r w:rsidRPr="00246864">
        <w:rPr>
          <w:u w:val="single"/>
        </w:rPr>
        <w:t xml:space="preserve"> </w:t>
      </w:r>
      <w:r w:rsidRPr="00246864">
        <w:rPr>
          <w:b/>
          <w:u w:val="single"/>
        </w:rPr>
        <w:t>o podpore najmenej rozvinutých okresov</w:t>
      </w:r>
      <w:r w:rsidRPr="00A753B4">
        <w:t xml:space="preserve"> </w:t>
      </w:r>
      <w:r>
        <w:t xml:space="preserve">v znení neskorších zmien sú riešené okresy s dlhodobo vysokou nezamestnanosťou. </w:t>
      </w:r>
      <w:r w:rsidRPr="00F2738A">
        <w:rPr>
          <w:rFonts w:ascii="Calibri" w:hAnsi="Calibri"/>
        </w:rPr>
        <w:t xml:space="preserve">Prostredníctvom </w:t>
      </w:r>
      <w:r w:rsidRPr="00F2738A">
        <w:rPr>
          <w:rFonts w:ascii="Calibri" w:hAnsi="Calibri" w:cs="Arial"/>
          <w:color w:val="000000"/>
          <w:shd w:val="clear" w:color="auto" w:fill="FFFFFF"/>
        </w:rPr>
        <w:t>Akčný</w:t>
      </w:r>
      <w:r>
        <w:rPr>
          <w:rFonts w:ascii="Calibri" w:hAnsi="Calibri" w:cs="Arial"/>
          <w:color w:val="000000"/>
          <w:shd w:val="clear" w:color="auto" w:fill="FFFFFF"/>
        </w:rPr>
        <w:t>ch</w:t>
      </w:r>
      <w:r w:rsidRPr="00F2738A">
        <w:rPr>
          <w:rFonts w:ascii="Calibri" w:hAnsi="Calibri" w:cs="Arial"/>
          <w:color w:val="000000"/>
          <w:shd w:val="clear" w:color="auto" w:fill="FFFFFF"/>
        </w:rPr>
        <w:t xml:space="preserve"> plán</w:t>
      </w:r>
      <w:r>
        <w:rPr>
          <w:rFonts w:ascii="Calibri" w:hAnsi="Calibri" w:cs="Arial"/>
          <w:color w:val="000000"/>
          <w:shd w:val="clear" w:color="auto" w:fill="FFFFFF"/>
        </w:rPr>
        <w:t>ov, ktoré sú záväzné dokumenty schválené vládou SR</w:t>
      </w:r>
      <w:r w:rsidRPr="00BC50CE">
        <w:rPr>
          <w:rFonts w:ascii="Calibri" w:hAnsi="Calibri" w:cs="Arial"/>
          <w:shd w:val="clear" w:color="auto" w:fill="FFFFFF"/>
        </w:rPr>
        <w:t>, sa rieši</w:t>
      </w:r>
      <w:r w:rsidRPr="0080569C">
        <w:rPr>
          <w:rFonts w:ascii="Calibri" w:hAnsi="Calibri" w:cs="Arial"/>
          <w:color w:val="FF0000"/>
          <w:shd w:val="clear" w:color="auto" w:fill="FFFFFF"/>
        </w:rPr>
        <w:t xml:space="preserve"> </w:t>
      </w:r>
      <w:r w:rsidRPr="00F2738A">
        <w:rPr>
          <w:rFonts w:ascii="Calibri" w:hAnsi="Calibri" w:cs="Arial"/>
          <w:color w:val="000000"/>
          <w:shd w:val="clear" w:color="auto" w:fill="FFFFFF"/>
        </w:rPr>
        <w:t>odstraňovanie zaostávania najmenej rozvinutého okresu, ktorý vychádza zo základných dokumentov podpory regionálneho rozvoja,</w:t>
      </w:r>
      <w:r>
        <w:rPr>
          <w:rFonts w:ascii="Calibri" w:hAnsi="Calibri" w:cs="Arial"/>
          <w:color w:val="000000"/>
          <w:shd w:val="clear" w:color="auto" w:fill="FFFFFF"/>
        </w:rPr>
        <w:t xml:space="preserve"> </w:t>
      </w:r>
      <w:r w:rsidRPr="00F2738A">
        <w:rPr>
          <w:rFonts w:ascii="Calibri" w:hAnsi="Calibri" w:cs="Arial"/>
          <w:color w:val="000000"/>
          <w:shd w:val="clear" w:color="auto" w:fill="FFFFFF"/>
        </w:rPr>
        <w:t>ďalších dokumentov a</w:t>
      </w:r>
      <w:r>
        <w:rPr>
          <w:rFonts w:ascii="Calibri" w:hAnsi="Calibri" w:cs="Arial"/>
          <w:color w:val="000000"/>
          <w:shd w:val="clear" w:color="auto" w:fill="FFFFFF"/>
        </w:rPr>
        <w:t> </w:t>
      </w:r>
      <w:r w:rsidRPr="00F2738A">
        <w:rPr>
          <w:rFonts w:ascii="Calibri" w:hAnsi="Calibri" w:cs="Arial"/>
          <w:color w:val="000000"/>
          <w:shd w:val="clear" w:color="auto" w:fill="FFFFFF"/>
        </w:rPr>
        <w:t>odporúčaní</w:t>
      </w:r>
      <w:r>
        <w:rPr>
          <w:rFonts w:ascii="Calibri" w:hAnsi="Calibri" w:cs="Arial"/>
          <w:color w:val="000000"/>
          <w:shd w:val="clear" w:color="auto" w:fill="FFFFFF"/>
        </w:rPr>
        <w:t>.</w:t>
      </w:r>
    </w:p>
    <w:p w:rsidR="00BB3275" w:rsidRDefault="00BB3275" w:rsidP="00BB3275">
      <w:pPr>
        <w:spacing w:after="120"/>
        <w:jc w:val="both"/>
      </w:pPr>
      <w:r w:rsidRPr="00246864">
        <w:rPr>
          <w:rFonts w:ascii="Calibri" w:hAnsi="Calibri" w:cs="Arial"/>
          <w:b/>
          <w:color w:val="000000"/>
          <w:u w:val="single"/>
          <w:shd w:val="clear" w:color="auto" w:fill="FFFFFF"/>
        </w:rPr>
        <w:t>Z</w:t>
      </w:r>
      <w:r w:rsidRPr="00246864">
        <w:rPr>
          <w:b/>
          <w:u w:val="single"/>
        </w:rPr>
        <w:t>ákon č.302/2001 Z.</w:t>
      </w:r>
      <w:r>
        <w:rPr>
          <w:b/>
          <w:u w:val="single"/>
        </w:rPr>
        <w:t xml:space="preserve"> </w:t>
      </w:r>
      <w:r w:rsidRPr="00246864">
        <w:rPr>
          <w:b/>
          <w:u w:val="single"/>
        </w:rPr>
        <w:t>z. o samospráve vyšších územných celkov</w:t>
      </w:r>
      <w:r>
        <w:t xml:space="preserve"> v znení neskorších zmien a doplnkov zmysle </w:t>
      </w:r>
      <w:r w:rsidRPr="004068AC">
        <w:rPr>
          <w:b/>
        </w:rPr>
        <w:t>§ 4</w:t>
      </w:r>
      <w:r>
        <w:t xml:space="preserve"> </w:t>
      </w:r>
      <w:r w:rsidRPr="00BC50CE">
        <w:t>zákona sa</w:t>
      </w:r>
      <w:r w:rsidRPr="0080569C">
        <w:rPr>
          <w:color w:val="FF0000"/>
        </w:rPr>
        <w:t xml:space="preserve"> </w:t>
      </w:r>
      <w:r>
        <w:t>samosprávny kraj:</w:t>
      </w:r>
    </w:p>
    <w:p w:rsidR="00BB3275" w:rsidRDefault="00BB3275" w:rsidP="00BB3275">
      <w:pPr>
        <w:pStyle w:val="Odsekzoznamu"/>
        <w:numPr>
          <w:ilvl w:val="0"/>
          <w:numId w:val="8"/>
        </w:numPr>
        <w:spacing w:after="120"/>
        <w:jc w:val="both"/>
      </w:pPr>
      <w:r>
        <w:t xml:space="preserve">stará o všestranný rozvoj územia a o potreby svojich obyvateľov, </w:t>
      </w:r>
    </w:p>
    <w:p w:rsidR="00BB3275" w:rsidRDefault="00BB3275" w:rsidP="00BB3275">
      <w:pPr>
        <w:pStyle w:val="Odsekzoznamu"/>
        <w:numPr>
          <w:ilvl w:val="0"/>
          <w:numId w:val="8"/>
        </w:numPr>
        <w:spacing w:after="120"/>
        <w:jc w:val="both"/>
      </w:pPr>
      <w:r>
        <w:t>účelne využíva miestne, ľudské, prírodné a iné zdroje,</w:t>
      </w:r>
    </w:p>
    <w:p w:rsidR="00BB3275" w:rsidRDefault="00BB3275" w:rsidP="00BB3275">
      <w:pPr>
        <w:pStyle w:val="Odsekzoznamu"/>
        <w:numPr>
          <w:ilvl w:val="0"/>
          <w:numId w:val="8"/>
        </w:numPr>
        <w:spacing w:after="120"/>
        <w:jc w:val="both"/>
      </w:pPr>
      <w:r>
        <w:t xml:space="preserve">vykonáva vlastnú investičnú činnosť a podnikateľskú činnosť v záujme zabezpečenia potrieb obyvateľov samosprávneho kraja a rozvoja samosprávneho kraja. </w:t>
      </w:r>
    </w:p>
    <w:p w:rsidR="00FE3660" w:rsidRDefault="00BB3275" w:rsidP="000A4A21">
      <w:pPr>
        <w:spacing w:after="120"/>
        <w:jc w:val="both"/>
      </w:pPr>
      <w:r w:rsidRPr="004068AC">
        <w:rPr>
          <w:rFonts w:ascii="Calibri" w:hAnsi="Calibri"/>
        </w:rPr>
        <w:lastRenderedPageBreak/>
        <w:t xml:space="preserve">V súlade s </w:t>
      </w:r>
      <w:r w:rsidRPr="004068AC">
        <w:rPr>
          <w:rFonts w:ascii="Calibri" w:hAnsi="Calibri"/>
          <w:b/>
        </w:rPr>
        <w:t>§ 8</w:t>
      </w:r>
      <w:r w:rsidRPr="004068AC">
        <w:rPr>
          <w:rFonts w:ascii="Calibri" w:hAnsi="Calibri"/>
        </w:rPr>
        <w:t xml:space="preserve"> </w:t>
      </w:r>
      <w:r>
        <w:rPr>
          <w:rFonts w:ascii="Calibri" w:hAnsi="Calibri"/>
        </w:rPr>
        <w:t xml:space="preserve">zákona </w:t>
      </w:r>
      <w:r w:rsidRPr="004068AC">
        <w:rPr>
          <w:rFonts w:ascii="Calibri" w:hAnsi="Calibri"/>
        </w:rPr>
        <w:t>vydáva všeobecne záväzné nariadenia vo veciach územnej samosprávy</w:t>
      </w:r>
      <w:r>
        <w:rPr>
          <w:rFonts w:ascii="Calibri" w:hAnsi="Calibri"/>
        </w:rPr>
        <w:t>.</w:t>
      </w:r>
      <w:r w:rsidR="000A4A21">
        <w:t xml:space="preserve"> </w:t>
      </w:r>
    </w:p>
    <w:p w:rsidR="006C7513" w:rsidRDefault="006C7513" w:rsidP="003518A8">
      <w:pPr>
        <w:spacing w:after="120"/>
        <w:jc w:val="both"/>
      </w:pPr>
    </w:p>
    <w:p w:rsidR="00A753B4" w:rsidRDefault="00AD0BCD" w:rsidP="000A4A21">
      <w:pPr>
        <w:pStyle w:val="Nadpis2"/>
        <w:numPr>
          <w:ilvl w:val="1"/>
          <w:numId w:val="29"/>
        </w:numPr>
        <w:spacing w:after="120"/>
        <w:ind w:firstLine="349"/>
        <w:rPr>
          <w:rFonts w:asciiTheme="minorHAnsi" w:hAnsiTheme="minorHAnsi"/>
          <w:color w:val="auto"/>
        </w:rPr>
      </w:pPr>
      <w:bookmarkStart w:id="8" w:name="_Toc536769640"/>
      <w:r w:rsidRPr="00AD0BCD">
        <w:rPr>
          <w:rFonts w:asciiTheme="minorHAnsi" w:hAnsiTheme="minorHAnsi"/>
        </w:rPr>
        <w:t xml:space="preserve">Legislatívne rámce na regionálnej </w:t>
      </w:r>
      <w:r w:rsidR="000A4A21">
        <w:rPr>
          <w:rFonts w:asciiTheme="minorHAnsi" w:hAnsiTheme="minorHAnsi"/>
        </w:rPr>
        <w:t>a </w:t>
      </w:r>
      <w:r w:rsidR="00B720D5">
        <w:rPr>
          <w:rFonts w:asciiTheme="minorHAnsi" w:hAnsiTheme="minorHAnsi"/>
        </w:rPr>
        <w:t>miestnej</w:t>
      </w:r>
      <w:r w:rsidR="000A4A21">
        <w:rPr>
          <w:rFonts w:asciiTheme="minorHAnsi" w:hAnsiTheme="minorHAnsi"/>
        </w:rPr>
        <w:t xml:space="preserve"> </w:t>
      </w:r>
      <w:r w:rsidRPr="00AD0BCD">
        <w:rPr>
          <w:rFonts w:asciiTheme="minorHAnsi" w:hAnsiTheme="minorHAnsi"/>
        </w:rPr>
        <w:t>úrovni</w:t>
      </w:r>
      <w:bookmarkEnd w:id="8"/>
      <w:r w:rsidRPr="00AD0BCD">
        <w:rPr>
          <w:rFonts w:asciiTheme="minorHAnsi" w:hAnsiTheme="minorHAnsi"/>
        </w:rPr>
        <w:t xml:space="preserve"> </w:t>
      </w:r>
      <w:r w:rsidR="00173FBF" w:rsidRPr="00173FBF">
        <w:rPr>
          <w:rFonts w:asciiTheme="minorHAnsi" w:hAnsiTheme="minorHAnsi"/>
          <w:color w:val="auto"/>
        </w:rPr>
        <w:t xml:space="preserve"> </w:t>
      </w:r>
    </w:p>
    <w:p w:rsidR="000A4A21" w:rsidRPr="000A4A21" w:rsidRDefault="000A4A21" w:rsidP="000A4A21">
      <w:pPr>
        <w:shd w:val="clear" w:color="auto" w:fill="FFFFFF"/>
        <w:spacing w:after="120"/>
        <w:jc w:val="both"/>
        <w:rPr>
          <w:rFonts w:ascii="Times New Roman" w:hAnsi="Times New Roman" w:cs="Times New Roman"/>
          <w:color w:val="222222"/>
          <w:sz w:val="24"/>
          <w:szCs w:val="24"/>
        </w:rPr>
      </w:pPr>
      <w:r w:rsidRPr="000A4A21">
        <w:rPr>
          <w:color w:val="222222"/>
        </w:rPr>
        <w:t>Do legislatívneho rámca na regionálnej, resp. miestnej úrovni</w:t>
      </w:r>
      <w:r w:rsidR="00A15609">
        <w:rPr>
          <w:color w:val="222222"/>
        </w:rPr>
        <w:t>,</w:t>
      </w:r>
      <w:r w:rsidRPr="000A4A21">
        <w:rPr>
          <w:color w:val="222222"/>
        </w:rPr>
        <w:t xml:space="preserve"> upravujúceho zamestnávanie možno zaradiť aj </w:t>
      </w:r>
      <w:r w:rsidRPr="000A4A21">
        <w:rPr>
          <w:b/>
          <w:color w:val="222222"/>
        </w:rPr>
        <w:t>všeobecné záväzné nariadenia</w:t>
      </w:r>
      <w:r w:rsidRPr="000A4A21">
        <w:rPr>
          <w:color w:val="222222"/>
        </w:rPr>
        <w:t>, ktoré obce vyhlasujú podľa zákona č. 369/1996 Z. z. o obecnom zriadení v znení neskorších zmien a doplnkov a samosprávne kraje v zmysle § 8 zákona č. 302/2001 Z. z. o samospráve vyšších územných celkov znení neskorších zmien a doplnkov. Analýzou jednotlivých webových stránok bolo zistené, že v BBK je v platnosti len jedno také</w:t>
      </w:r>
      <w:r w:rsidR="00A15609">
        <w:rPr>
          <w:color w:val="222222"/>
        </w:rPr>
        <w:t>t</w:t>
      </w:r>
      <w:r w:rsidRPr="000A4A21">
        <w:rPr>
          <w:color w:val="222222"/>
        </w:rPr>
        <w:t xml:space="preserve">o všeobecné záväzné nariadenie a to na úrovni samosprávneho kraja, konkrétne </w:t>
      </w:r>
      <w:r w:rsidRPr="000A4A21">
        <w:rPr>
          <w:b/>
          <w:color w:val="222222"/>
        </w:rPr>
        <w:t>Všeobecné záväzné nariadenie Banskobystrického samosprávneho kraja č. 25/2014</w:t>
      </w:r>
      <w:r w:rsidRPr="000A4A21">
        <w:rPr>
          <w:color w:val="222222"/>
        </w:rPr>
        <w:t xml:space="preserve"> o poskytovaní dotácií z vlastných príjmov BBSK účelovo určených na akcie vo verejnom záujme alebo v prospech rozvoja územia BBSK a na podporu všeobecne prospešných služieb a zamestnanosti, ktoré vymedzuje priority poskytovania dotácií nasledovne:</w:t>
      </w:r>
    </w:p>
    <w:p w:rsidR="000A4A21" w:rsidRPr="000A4A21" w:rsidRDefault="000A4A21" w:rsidP="000A4A21">
      <w:pPr>
        <w:pStyle w:val="Odsekzoznamu"/>
        <w:shd w:val="clear" w:color="auto" w:fill="FFFFFF"/>
        <w:spacing w:after="0"/>
        <w:ind w:left="360"/>
        <w:jc w:val="both"/>
        <w:rPr>
          <w:color w:val="222222"/>
        </w:rPr>
      </w:pPr>
      <w:r w:rsidRPr="000A4A21">
        <w:rPr>
          <w:color w:val="222222"/>
        </w:rPr>
        <w:t>1. podpora obciam ako účasť na financovaní spoločných úloh v záujme rozvoja územia BBSK</w:t>
      </w:r>
    </w:p>
    <w:p w:rsidR="000A4A21" w:rsidRPr="000A4A21" w:rsidRDefault="000A4A21" w:rsidP="000A4A21">
      <w:pPr>
        <w:pStyle w:val="Odsekzoznamu"/>
        <w:shd w:val="clear" w:color="auto" w:fill="FFFFFF"/>
        <w:spacing w:after="0"/>
        <w:ind w:left="360"/>
        <w:jc w:val="both"/>
        <w:rPr>
          <w:color w:val="222222"/>
        </w:rPr>
      </w:pPr>
      <w:r w:rsidRPr="000A4A21">
        <w:rPr>
          <w:color w:val="222222"/>
        </w:rPr>
        <w:t>2. verejno-prospešné projekty</w:t>
      </w:r>
    </w:p>
    <w:p w:rsidR="000A4A21" w:rsidRPr="000A4A21" w:rsidRDefault="000A4A21" w:rsidP="000A4A21">
      <w:pPr>
        <w:pStyle w:val="Odsekzoznamu"/>
        <w:shd w:val="clear" w:color="auto" w:fill="FFFFFF"/>
        <w:spacing w:after="0"/>
        <w:ind w:left="360"/>
        <w:jc w:val="both"/>
        <w:rPr>
          <w:color w:val="222222"/>
        </w:rPr>
      </w:pPr>
      <w:r w:rsidRPr="000A4A21">
        <w:rPr>
          <w:color w:val="222222"/>
        </w:rPr>
        <w:t>3. všeobecne prospešných služieb</w:t>
      </w:r>
    </w:p>
    <w:p w:rsidR="000A4A21" w:rsidRPr="000A4A21" w:rsidRDefault="000A4A21" w:rsidP="000A4A21">
      <w:pPr>
        <w:pStyle w:val="Odsekzoznamu"/>
        <w:shd w:val="clear" w:color="auto" w:fill="FFFFFF"/>
        <w:spacing w:after="0"/>
        <w:ind w:left="360"/>
        <w:jc w:val="both"/>
        <w:rPr>
          <w:color w:val="222222"/>
        </w:rPr>
      </w:pPr>
      <w:r w:rsidRPr="000A4A21">
        <w:rPr>
          <w:color w:val="222222"/>
        </w:rPr>
        <w:t>4. podporu zamestnanosti v regióne a podpora podnikania.</w:t>
      </w:r>
    </w:p>
    <w:p w:rsidR="009222EF" w:rsidRPr="009222EF" w:rsidRDefault="009222EF" w:rsidP="003518A8">
      <w:pPr>
        <w:spacing w:after="120"/>
      </w:pPr>
    </w:p>
    <w:p w:rsidR="00801823" w:rsidRPr="005E2ED2" w:rsidRDefault="004F35DB" w:rsidP="005E2ED2">
      <w:pPr>
        <w:pStyle w:val="Nadpis2"/>
        <w:numPr>
          <w:ilvl w:val="1"/>
          <w:numId w:val="29"/>
        </w:numPr>
        <w:spacing w:after="120"/>
        <w:ind w:left="391" w:firstLine="318"/>
        <w:rPr>
          <w:rFonts w:asciiTheme="minorHAnsi" w:hAnsiTheme="minorHAnsi"/>
        </w:rPr>
      </w:pPr>
      <w:bookmarkStart w:id="9" w:name="_Toc536769641"/>
      <w:r>
        <w:rPr>
          <w:rFonts w:asciiTheme="minorHAnsi" w:hAnsiTheme="minorHAnsi"/>
        </w:rPr>
        <w:t>Strategické a p</w:t>
      </w:r>
      <w:r w:rsidR="00AD0BCD" w:rsidRPr="00AD0BCD">
        <w:rPr>
          <w:rFonts w:asciiTheme="minorHAnsi" w:hAnsiTheme="minorHAnsi"/>
        </w:rPr>
        <w:t>rogramové dokumenty na národnej úrovni</w:t>
      </w:r>
      <w:bookmarkEnd w:id="9"/>
    </w:p>
    <w:p w:rsidR="004F35DB" w:rsidRPr="004F35DB" w:rsidRDefault="004F35DB" w:rsidP="002F0CE6">
      <w:pPr>
        <w:pStyle w:val="Normlnywebov"/>
        <w:spacing w:before="0" w:beforeAutospacing="0" w:after="0" w:afterAutospacing="0" w:line="276" w:lineRule="auto"/>
        <w:jc w:val="both"/>
        <w:rPr>
          <w:rFonts w:asciiTheme="minorHAnsi" w:hAnsiTheme="minorHAnsi"/>
          <w:color w:val="000000"/>
          <w:sz w:val="22"/>
          <w:szCs w:val="22"/>
        </w:rPr>
      </w:pPr>
      <w:r w:rsidRPr="00040FDE">
        <w:rPr>
          <w:rFonts w:asciiTheme="minorHAnsi" w:hAnsiTheme="minorHAnsi"/>
          <w:b/>
          <w:color w:val="4F81BD" w:themeColor="accent1"/>
          <w:u w:val="single"/>
        </w:rPr>
        <w:t>Národná stratégia regionálneho rozvoja SR</w:t>
      </w:r>
      <w:r w:rsidRPr="004F35DB">
        <w:rPr>
          <w:rFonts w:asciiTheme="minorHAnsi" w:hAnsiTheme="minorHAnsi"/>
          <w:color w:val="000000"/>
          <w:sz w:val="22"/>
          <w:szCs w:val="22"/>
        </w:rPr>
        <w:t xml:space="preserve"> vrátane jej aktualizácie v r. 2013 je základným strategickým dokumentom na podporu regionálneho rozvoja na národnej úrovni, ktorého cieľom je určiť komplexný strategický prístup štátu k podpore regionálneho rozvoja na Slovensku do roku 2030. Tento dokument, za vypracovanie ktorého bolo zodpovedné Ministerstvo dopravy, výstavby a regionálneho rozvoja SR, bol prijatý s cieľom riešiť regionálny rozvoj nad rámec doplnkových zdrojov, za ktoré sú považované fondy EÚ. </w:t>
      </w:r>
    </w:p>
    <w:p w:rsidR="004F35DB" w:rsidRPr="004F35DB" w:rsidRDefault="004F35DB" w:rsidP="002F0CE6">
      <w:pPr>
        <w:pStyle w:val="Normlnywebov"/>
        <w:spacing w:before="0" w:beforeAutospacing="0" w:after="0" w:afterAutospacing="0" w:line="276" w:lineRule="auto"/>
        <w:jc w:val="both"/>
        <w:rPr>
          <w:rFonts w:asciiTheme="minorHAnsi" w:hAnsiTheme="minorHAnsi"/>
          <w:color w:val="000000"/>
          <w:sz w:val="22"/>
          <w:szCs w:val="22"/>
        </w:rPr>
      </w:pPr>
      <w:r w:rsidRPr="004F35DB">
        <w:rPr>
          <w:rFonts w:asciiTheme="minorHAnsi" w:hAnsiTheme="minorHAnsi"/>
          <w:color w:val="000000"/>
          <w:sz w:val="22"/>
          <w:szCs w:val="22"/>
        </w:rPr>
        <w:t>Aktualizovaná národná stratégia vychádza z Programového vyhlásenia vlády SR na roky 2012 – 2016, je v súlade s inými strategickými a koncepčnými dokumentmi, a to so Stratégiou  Európa 2020 a v oblasti politiky súdržnosti nadväzuje na Partnerskú dohodu na roky 2014 – 2020</w:t>
      </w:r>
      <w:r w:rsidR="00A15609">
        <w:rPr>
          <w:rFonts w:asciiTheme="minorHAnsi" w:hAnsiTheme="minorHAnsi"/>
          <w:color w:val="000000"/>
          <w:sz w:val="22"/>
          <w:szCs w:val="22"/>
        </w:rPr>
        <w:t>.</w:t>
      </w:r>
    </w:p>
    <w:p w:rsidR="004F35DB" w:rsidRPr="004F35DB" w:rsidRDefault="004F35DB" w:rsidP="002F0CE6">
      <w:pPr>
        <w:pStyle w:val="Normlnywebov"/>
        <w:spacing w:before="0" w:beforeAutospacing="0" w:after="0" w:afterAutospacing="0" w:line="276" w:lineRule="auto"/>
        <w:jc w:val="both"/>
        <w:rPr>
          <w:rFonts w:asciiTheme="minorHAnsi" w:hAnsiTheme="minorHAnsi"/>
          <w:color w:val="000000"/>
          <w:sz w:val="22"/>
          <w:szCs w:val="22"/>
        </w:rPr>
      </w:pPr>
      <w:r w:rsidRPr="004F35DB">
        <w:rPr>
          <w:rFonts w:asciiTheme="minorHAnsi" w:hAnsiTheme="minorHAnsi"/>
          <w:color w:val="000000"/>
          <w:sz w:val="22"/>
          <w:szCs w:val="22"/>
        </w:rPr>
        <w:t xml:space="preserve">Hlavným cieľom v r. 2014 schválenej Aktualizácie národnej stratégie regionálneho rozvoja bolo priebežné hodnotenie vývoja hospodárskych, sociálnych a environmentálnych politík regionálneho rozvoja na štátnej a regionálnej úrovni vyšších územných celkov a vytvorenie lepších  podmienok pre udržateľný hospodársky rast, </w:t>
      </w:r>
      <w:r w:rsidRPr="004F35DB">
        <w:rPr>
          <w:rFonts w:asciiTheme="minorHAnsi" w:hAnsiTheme="minorHAnsi"/>
          <w:b/>
          <w:color w:val="000000"/>
          <w:sz w:val="22"/>
          <w:szCs w:val="22"/>
        </w:rPr>
        <w:t>zamestnanosť</w:t>
      </w:r>
      <w:r w:rsidRPr="004F35DB">
        <w:rPr>
          <w:rFonts w:asciiTheme="minorHAnsi" w:hAnsiTheme="minorHAnsi"/>
          <w:color w:val="000000"/>
          <w:sz w:val="22"/>
          <w:szCs w:val="22"/>
        </w:rPr>
        <w:t xml:space="preserve"> a životnú úroveň.</w:t>
      </w:r>
    </w:p>
    <w:p w:rsidR="005B0C29" w:rsidRDefault="005B0C29" w:rsidP="002F0CE6">
      <w:pPr>
        <w:pStyle w:val="Normlnywebov"/>
        <w:spacing w:before="0" w:beforeAutospacing="0" w:after="0" w:afterAutospacing="0" w:line="276" w:lineRule="auto"/>
        <w:jc w:val="both"/>
        <w:rPr>
          <w:rFonts w:asciiTheme="minorHAnsi" w:hAnsiTheme="minorHAnsi"/>
          <w:color w:val="000000"/>
          <w:sz w:val="22"/>
          <w:szCs w:val="22"/>
        </w:rPr>
      </w:pPr>
    </w:p>
    <w:p w:rsidR="004F35DB" w:rsidRPr="004F35DB" w:rsidRDefault="004F35DB" w:rsidP="002F0CE6">
      <w:pPr>
        <w:pStyle w:val="Normlnywebov"/>
        <w:spacing w:before="0" w:beforeAutospacing="0" w:after="0" w:afterAutospacing="0" w:line="276" w:lineRule="auto"/>
        <w:jc w:val="both"/>
        <w:rPr>
          <w:rFonts w:asciiTheme="minorHAnsi" w:hAnsiTheme="minorHAnsi"/>
          <w:color w:val="000000"/>
          <w:sz w:val="22"/>
          <w:szCs w:val="22"/>
        </w:rPr>
      </w:pPr>
      <w:r w:rsidRPr="004F35DB">
        <w:rPr>
          <w:rFonts w:asciiTheme="minorHAnsi" w:hAnsiTheme="minorHAnsi"/>
          <w:color w:val="000000"/>
          <w:sz w:val="22"/>
          <w:szCs w:val="22"/>
        </w:rPr>
        <w:t xml:space="preserve">Zamestnanosti sa týka 4. kapitola stratégie „Podpora  prioritných oblastí SR“, konkrétne podkapitola 4.1 Ľudské zdroje – zvýšenie kvality ľudského kapitálu obsahuje analýzu východiskového stavu a charakteristiku smerovania, identifikáciu problémov a odporúčania na riešenie problémov. Analýza východiskového stavu v časti 4.1.1 naznačuje, že „v poslednom období je pozorovateľný pokles prírastku obyvateľstva a pokračujúci proces populačného starnutia, čo si bude vyžadovať optimalizáciu </w:t>
      </w:r>
      <w:r w:rsidRPr="004F35DB">
        <w:rPr>
          <w:rFonts w:asciiTheme="minorHAnsi" w:hAnsiTheme="minorHAnsi"/>
          <w:color w:val="000000"/>
          <w:sz w:val="22"/>
          <w:szCs w:val="22"/>
        </w:rPr>
        <w:lastRenderedPageBreak/>
        <w:t>politiky podpory rodiny a bývania pre elimináciu nedostatku pracovnej sily v dlhodobom horizonte. Čoraz častejšie sa bude do popredia dostávať problematika rastúceho počtu starých ľudí v populácii (zvyšovanie priemerného veku dožitia a pod.), pre ktorých je už dnes potrebné pripravovať opatrenia v oblasti sociálnej a zdravotnej starostlivosti.“</w:t>
      </w:r>
    </w:p>
    <w:p w:rsidR="005B0C29" w:rsidRDefault="005B0C29" w:rsidP="002F0CE6">
      <w:pPr>
        <w:pStyle w:val="Normlnywebov"/>
        <w:spacing w:before="0" w:beforeAutospacing="0" w:after="0" w:afterAutospacing="0" w:line="276" w:lineRule="auto"/>
        <w:jc w:val="both"/>
        <w:rPr>
          <w:rFonts w:asciiTheme="minorHAnsi" w:hAnsiTheme="minorHAnsi"/>
          <w:color w:val="000000"/>
          <w:sz w:val="22"/>
          <w:szCs w:val="22"/>
        </w:rPr>
      </w:pPr>
    </w:p>
    <w:p w:rsidR="004F35DB" w:rsidRPr="004F35DB" w:rsidRDefault="004F35DB" w:rsidP="002F0CE6">
      <w:pPr>
        <w:pStyle w:val="Normlnywebov"/>
        <w:spacing w:before="0" w:beforeAutospacing="0" w:after="0" w:afterAutospacing="0" w:line="276" w:lineRule="auto"/>
        <w:jc w:val="both"/>
        <w:rPr>
          <w:rFonts w:asciiTheme="minorHAnsi" w:hAnsiTheme="minorHAnsi"/>
          <w:color w:val="000000"/>
          <w:sz w:val="22"/>
          <w:szCs w:val="22"/>
        </w:rPr>
      </w:pPr>
      <w:r w:rsidRPr="004F35DB">
        <w:rPr>
          <w:rFonts w:asciiTheme="minorHAnsi" w:hAnsiTheme="minorHAnsi"/>
          <w:color w:val="000000"/>
          <w:sz w:val="22"/>
          <w:szCs w:val="22"/>
        </w:rPr>
        <w:t>Keďže príprava aktualizácie národnej stratégie regionálneho rozvoja prebiehala tesne po nástupe finančnej a hospodárskej krízy v r. 2008, ktorá sa na Slovensku  začala prejavovať až v r. 2009 a ešte aj v nasledujúcich rokoch (miera nezamestnanosti na Slovensku v r. 2008 bola 8,39 %, v r. 2009 stúpla na 12,66</w:t>
      </w:r>
      <w:r w:rsidR="00A15609">
        <w:rPr>
          <w:rFonts w:asciiTheme="minorHAnsi" w:hAnsiTheme="minorHAnsi"/>
          <w:color w:val="000000"/>
          <w:sz w:val="22"/>
          <w:szCs w:val="22"/>
        </w:rPr>
        <w:t xml:space="preserve"> </w:t>
      </w:r>
      <w:r w:rsidRPr="004F35DB">
        <w:rPr>
          <w:rFonts w:asciiTheme="minorHAnsi" w:hAnsiTheme="minorHAnsi"/>
          <w:color w:val="000000"/>
          <w:sz w:val="22"/>
          <w:szCs w:val="22"/>
        </w:rPr>
        <w:t xml:space="preserve">% a v r. 2013 na 13,5 %, pričom viaceré okresy v Banskobystrickom kraji mali mieru nezamestnanosti viac ako 30 %). Vzhľadom na celkovo zvyšujúcu sa mieru nezamestnanosti stratégia nesledovala vekovú štruktúru nezamestnaných ale pozornosť bola viac venovaná celkovému ohrozeniu chudobou a sociálnemu vylúčeniu. </w:t>
      </w:r>
    </w:p>
    <w:p w:rsidR="005B0C29" w:rsidRDefault="005B0C29" w:rsidP="002F0CE6">
      <w:pPr>
        <w:pStyle w:val="Normlnywebov"/>
        <w:spacing w:before="0" w:beforeAutospacing="0" w:after="0" w:afterAutospacing="0" w:line="276" w:lineRule="auto"/>
        <w:jc w:val="both"/>
        <w:rPr>
          <w:rFonts w:asciiTheme="minorHAnsi" w:hAnsiTheme="minorHAnsi"/>
          <w:color w:val="000000"/>
          <w:sz w:val="22"/>
          <w:szCs w:val="22"/>
        </w:rPr>
      </w:pPr>
    </w:p>
    <w:p w:rsidR="004F35DB" w:rsidRPr="004F35DB" w:rsidRDefault="004F35DB" w:rsidP="002F0CE6">
      <w:pPr>
        <w:pStyle w:val="Normlnywebov"/>
        <w:spacing w:before="0" w:beforeAutospacing="0" w:after="0" w:afterAutospacing="0" w:line="276" w:lineRule="auto"/>
        <w:jc w:val="both"/>
        <w:rPr>
          <w:rFonts w:asciiTheme="minorHAnsi" w:hAnsiTheme="minorHAnsi"/>
          <w:color w:val="000000"/>
          <w:sz w:val="22"/>
          <w:szCs w:val="22"/>
        </w:rPr>
      </w:pPr>
      <w:r w:rsidRPr="004F35DB">
        <w:rPr>
          <w:rFonts w:asciiTheme="minorHAnsi" w:hAnsiTheme="minorHAnsi"/>
          <w:color w:val="000000"/>
          <w:sz w:val="22"/>
          <w:szCs w:val="22"/>
        </w:rPr>
        <w:t xml:space="preserve">V identifikácii problémov v časti 4.1.2 je ako problém uvedený pokles obyvateľstva v produktívnom veku a populačné starnutie. Nevyváženosť vekových štruktúr zamestnaných a nezamestnaných je  uvádzaná ako negatívny vplyv na sociálne služby štátu v budúcnosti, no v odporúčaniach v časti 4.1.3 </w:t>
      </w:r>
      <w:r w:rsidR="004920B9">
        <w:rPr>
          <w:rFonts w:asciiTheme="minorHAnsi" w:hAnsiTheme="minorHAnsi"/>
          <w:color w:val="000000"/>
          <w:sz w:val="22"/>
          <w:szCs w:val="22"/>
        </w:rPr>
        <w:t xml:space="preserve">nie </w:t>
      </w:r>
      <w:r w:rsidRPr="004F35DB">
        <w:rPr>
          <w:rFonts w:asciiTheme="minorHAnsi" w:hAnsiTheme="minorHAnsi"/>
          <w:color w:val="000000"/>
          <w:sz w:val="22"/>
          <w:szCs w:val="22"/>
        </w:rPr>
        <w:t>sú uvedené žiadne konkrétne opatrenia na tému zamestnanosti starších skupín obyvateľstva. Navrhované odporúčania sa týkajú najmä mladých rodín a matiek po materskej dovolenke, regenerácii vidieka, motivácii ekonomických subjektov vytvárať pracovné miesta a vzdelávacieho systému, ktorý by sa mal viac prispôsobovať problémom trhu práce.</w:t>
      </w:r>
    </w:p>
    <w:p w:rsidR="004F35DB" w:rsidRPr="004F35DB" w:rsidRDefault="004F35DB" w:rsidP="002F0CE6">
      <w:pPr>
        <w:pStyle w:val="Normlnywebov"/>
        <w:spacing w:before="0" w:beforeAutospacing="0" w:after="0" w:afterAutospacing="0" w:line="276" w:lineRule="auto"/>
        <w:jc w:val="both"/>
        <w:rPr>
          <w:rFonts w:asciiTheme="minorHAnsi" w:hAnsiTheme="minorHAnsi"/>
          <w:color w:val="000000"/>
          <w:sz w:val="22"/>
          <w:szCs w:val="22"/>
        </w:rPr>
      </w:pPr>
      <w:r w:rsidRPr="004F35DB">
        <w:rPr>
          <w:rFonts w:asciiTheme="minorHAnsi" w:hAnsiTheme="minorHAnsi"/>
          <w:color w:val="000000"/>
          <w:sz w:val="22"/>
          <w:szCs w:val="22"/>
        </w:rPr>
        <w:t>Kapitola 5. Strategické ciele a prioritné oblasti rozvoja jednotlivých krajov, konkrétne podkapitola 5.6 venovaná Banskobystrickému kraju uvádza vekovú št</w:t>
      </w:r>
      <w:r w:rsidR="0062402E">
        <w:rPr>
          <w:rFonts w:asciiTheme="minorHAnsi" w:hAnsiTheme="minorHAnsi"/>
          <w:color w:val="000000"/>
          <w:sz w:val="22"/>
          <w:szCs w:val="22"/>
        </w:rPr>
        <w:t>ruktúru obyvateľstva v r. 2012:</w:t>
      </w:r>
    </w:p>
    <w:p w:rsidR="004F35DB" w:rsidRPr="004F35DB" w:rsidRDefault="004F35DB" w:rsidP="008776B5">
      <w:pPr>
        <w:pStyle w:val="Normlnywebov"/>
        <w:numPr>
          <w:ilvl w:val="0"/>
          <w:numId w:val="30"/>
        </w:numPr>
        <w:spacing w:before="0" w:beforeAutospacing="0" w:after="0" w:afterAutospacing="0" w:line="276" w:lineRule="auto"/>
        <w:jc w:val="both"/>
        <w:rPr>
          <w:rFonts w:asciiTheme="minorHAnsi" w:hAnsiTheme="minorHAnsi"/>
          <w:color w:val="000000"/>
          <w:sz w:val="22"/>
          <w:szCs w:val="22"/>
        </w:rPr>
      </w:pPr>
      <w:r w:rsidRPr="004F35DB">
        <w:rPr>
          <w:rFonts w:asciiTheme="minorHAnsi" w:hAnsiTheme="minorHAnsi"/>
          <w:color w:val="000000"/>
          <w:sz w:val="22"/>
          <w:szCs w:val="22"/>
        </w:rPr>
        <w:t>predproduktívny vek (0 – 14 rokov)</w:t>
      </w:r>
      <w:r w:rsidRPr="004F35DB">
        <w:rPr>
          <w:rFonts w:asciiTheme="minorHAnsi" w:hAnsiTheme="minorHAnsi"/>
          <w:color w:val="000000"/>
          <w:sz w:val="22"/>
          <w:szCs w:val="22"/>
        </w:rPr>
        <w:tab/>
      </w:r>
      <w:r w:rsidRPr="004F35DB">
        <w:rPr>
          <w:rFonts w:asciiTheme="minorHAnsi" w:hAnsiTheme="minorHAnsi"/>
          <w:color w:val="000000"/>
          <w:sz w:val="22"/>
          <w:szCs w:val="22"/>
        </w:rPr>
        <w:tab/>
      </w:r>
      <w:r w:rsidR="0045640D">
        <w:rPr>
          <w:rFonts w:asciiTheme="minorHAnsi" w:hAnsiTheme="minorHAnsi"/>
          <w:color w:val="000000"/>
          <w:sz w:val="22"/>
          <w:szCs w:val="22"/>
        </w:rPr>
        <w:tab/>
      </w:r>
      <w:r w:rsidRPr="004F35DB">
        <w:rPr>
          <w:rFonts w:asciiTheme="minorHAnsi" w:hAnsiTheme="minorHAnsi"/>
          <w:color w:val="000000"/>
          <w:sz w:val="22"/>
          <w:szCs w:val="22"/>
        </w:rPr>
        <w:tab/>
        <w:t>- 14,7 %</w:t>
      </w:r>
    </w:p>
    <w:p w:rsidR="004F35DB" w:rsidRPr="004F35DB" w:rsidRDefault="004F35DB" w:rsidP="008776B5">
      <w:pPr>
        <w:pStyle w:val="Normlnywebov"/>
        <w:numPr>
          <w:ilvl w:val="0"/>
          <w:numId w:val="30"/>
        </w:numPr>
        <w:spacing w:before="0" w:beforeAutospacing="0" w:after="0" w:afterAutospacing="0" w:line="276" w:lineRule="auto"/>
        <w:jc w:val="both"/>
        <w:rPr>
          <w:rFonts w:asciiTheme="minorHAnsi" w:hAnsiTheme="minorHAnsi"/>
          <w:color w:val="000000"/>
          <w:sz w:val="22"/>
          <w:szCs w:val="22"/>
        </w:rPr>
      </w:pPr>
      <w:r w:rsidRPr="004F35DB">
        <w:rPr>
          <w:rFonts w:asciiTheme="minorHAnsi" w:hAnsiTheme="minorHAnsi"/>
          <w:color w:val="000000"/>
          <w:sz w:val="22"/>
          <w:szCs w:val="22"/>
        </w:rPr>
        <w:t>produktívny vek (15 – 64 rokov)</w:t>
      </w:r>
      <w:r w:rsidRPr="004F35DB">
        <w:rPr>
          <w:rFonts w:asciiTheme="minorHAnsi" w:hAnsiTheme="minorHAnsi"/>
          <w:color w:val="000000"/>
          <w:sz w:val="22"/>
          <w:szCs w:val="22"/>
        </w:rPr>
        <w:tab/>
      </w:r>
      <w:r w:rsidRPr="004F35DB">
        <w:rPr>
          <w:rFonts w:asciiTheme="minorHAnsi" w:hAnsiTheme="minorHAnsi"/>
          <w:color w:val="000000"/>
          <w:sz w:val="22"/>
          <w:szCs w:val="22"/>
        </w:rPr>
        <w:tab/>
      </w:r>
      <w:r w:rsidRPr="004F35DB">
        <w:rPr>
          <w:rFonts w:asciiTheme="minorHAnsi" w:hAnsiTheme="minorHAnsi"/>
          <w:color w:val="000000"/>
          <w:sz w:val="22"/>
          <w:szCs w:val="22"/>
        </w:rPr>
        <w:tab/>
      </w:r>
      <w:r w:rsidRPr="004F35DB">
        <w:rPr>
          <w:rFonts w:asciiTheme="minorHAnsi" w:hAnsiTheme="minorHAnsi"/>
          <w:color w:val="000000"/>
          <w:sz w:val="22"/>
          <w:szCs w:val="22"/>
        </w:rPr>
        <w:tab/>
        <w:t>- 71,6 %</w:t>
      </w:r>
    </w:p>
    <w:p w:rsidR="004F35DB" w:rsidRPr="004F35DB" w:rsidRDefault="004F35DB" w:rsidP="008776B5">
      <w:pPr>
        <w:pStyle w:val="Normlnywebov"/>
        <w:numPr>
          <w:ilvl w:val="0"/>
          <w:numId w:val="30"/>
        </w:numPr>
        <w:spacing w:before="0" w:beforeAutospacing="0" w:after="0" w:afterAutospacing="0" w:line="276" w:lineRule="auto"/>
        <w:jc w:val="both"/>
        <w:rPr>
          <w:rFonts w:asciiTheme="minorHAnsi" w:hAnsiTheme="minorHAnsi"/>
          <w:color w:val="000000"/>
          <w:sz w:val="22"/>
          <w:szCs w:val="22"/>
        </w:rPr>
      </w:pPr>
      <w:r w:rsidRPr="004F35DB">
        <w:rPr>
          <w:rFonts w:asciiTheme="minorHAnsi" w:hAnsiTheme="minorHAnsi"/>
          <w:color w:val="000000"/>
          <w:sz w:val="22"/>
          <w:szCs w:val="22"/>
        </w:rPr>
        <w:t>poproduktívny vek (65 a viac)</w:t>
      </w:r>
      <w:r w:rsidRPr="004F35DB">
        <w:rPr>
          <w:rFonts w:asciiTheme="minorHAnsi" w:hAnsiTheme="minorHAnsi"/>
          <w:color w:val="000000"/>
          <w:sz w:val="22"/>
          <w:szCs w:val="22"/>
        </w:rPr>
        <w:tab/>
      </w:r>
      <w:r w:rsidRPr="004F35DB">
        <w:rPr>
          <w:rFonts w:asciiTheme="minorHAnsi" w:hAnsiTheme="minorHAnsi"/>
          <w:color w:val="000000"/>
          <w:sz w:val="22"/>
          <w:szCs w:val="22"/>
        </w:rPr>
        <w:tab/>
      </w:r>
      <w:r w:rsidRPr="004F35DB">
        <w:rPr>
          <w:rFonts w:asciiTheme="minorHAnsi" w:hAnsiTheme="minorHAnsi"/>
          <w:color w:val="000000"/>
          <w:sz w:val="22"/>
          <w:szCs w:val="22"/>
        </w:rPr>
        <w:tab/>
      </w:r>
      <w:r w:rsidRPr="004F35DB">
        <w:rPr>
          <w:rFonts w:asciiTheme="minorHAnsi" w:hAnsiTheme="minorHAnsi"/>
          <w:color w:val="000000"/>
          <w:sz w:val="22"/>
          <w:szCs w:val="22"/>
        </w:rPr>
        <w:tab/>
        <w:t>- 13,6 %.</w:t>
      </w:r>
    </w:p>
    <w:p w:rsidR="004F35DB" w:rsidRPr="004F35DB" w:rsidRDefault="004F35DB" w:rsidP="008776B5">
      <w:pPr>
        <w:pStyle w:val="Normlnywebov"/>
        <w:spacing w:before="0" w:beforeAutospacing="0" w:after="0" w:afterAutospacing="0" w:line="276" w:lineRule="auto"/>
        <w:jc w:val="both"/>
        <w:rPr>
          <w:rFonts w:asciiTheme="minorHAnsi" w:hAnsiTheme="minorHAnsi"/>
          <w:color w:val="000000"/>
          <w:sz w:val="22"/>
          <w:szCs w:val="22"/>
        </w:rPr>
      </w:pPr>
      <w:r w:rsidRPr="004F35DB">
        <w:rPr>
          <w:rFonts w:asciiTheme="minorHAnsi" w:hAnsiTheme="minorHAnsi"/>
          <w:color w:val="000000"/>
          <w:sz w:val="22"/>
          <w:szCs w:val="22"/>
        </w:rPr>
        <w:t>Veková štruktúra Banskobystrického kraja sa v r. 2012 najviac podobala vekovej štruktúre obyvateľstva Bratislavského kraja.</w:t>
      </w:r>
    </w:p>
    <w:p w:rsidR="005B0C29" w:rsidRDefault="005B0C29" w:rsidP="008776B5">
      <w:pPr>
        <w:pStyle w:val="Normlnywebov"/>
        <w:spacing w:before="0" w:beforeAutospacing="0" w:after="0" w:afterAutospacing="0" w:line="276" w:lineRule="auto"/>
        <w:jc w:val="both"/>
        <w:rPr>
          <w:rFonts w:asciiTheme="minorHAnsi" w:hAnsiTheme="minorHAnsi"/>
          <w:color w:val="000000"/>
          <w:sz w:val="22"/>
          <w:szCs w:val="22"/>
        </w:rPr>
      </w:pPr>
    </w:p>
    <w:p w:rsidR="004F35DB" w:rsidRPr="004F35DB" w:rsidRDefault="004F35DB" w:rsidP="008776B5">
      <w:pPr>
        <w:pStyle w:val="Normlnywebov"/>
        <w:spacing w:before="0" w:beforeAutospacing="0" w:after="0" w:afterAutospacing="0" w:line="276" w:lineRule="auto"/>
        <w:jc w:val="both"/>
        <w:rPr>
          <w:rFonts w:asciiTheme="minorHAnsi" w:hAnsiTheme="minorHAnsi"/>
          <w:sz w:val="22"/>
          <w:szCs w:val="22"/>
        </w:rPr>
      </w:pPr>
      <w:r w:rsidRPr="004F35DB">
        <w:rPr>
          <w:rFonts w:asciiTheme="minorHAnsi" w:hAnsiTheme="minorHAnsi"/>
          <w:color w:val="000000"/>
          <w:sz w:val="22"/>
          <w:szCs w:val="22"/>
        </w:rPr>
        <w:t xml:space="preserve">Medzi hlavné disparity kraja stratégia z hľadiska problematiky zamestnávania starších zaraďuje </w:t>
      </w:r>
      <w:r w:rsidRPr="004F35DB">
        <w:rPr>
          <w:rFonts w:asciiTheme="minorHAnsi" w:hAnsiTheme="minorHAnsi"/>
          <w:sz w:val="22"/>
          <w:szCs w:val="22"/>
        </w:rPr>
        <w:t>nepriaznivú vekovú štruktúru obyvateľov, vysoký podiel rómskeho etnika najmä v južných okresoch a nárast počtu obyvateľov, ktorí sú ohrození chudobou a sociálnym vylúčením, čo úzko súvisí s vysokou mierou nezamestnanosti a závažné demografické problémy v niektorých oblastiach kraja</w:t>
      </w:r>
      <w:r w:rsidR="00977969">
        <w:rPr>
          <w:rFonts w:asciiTheme="minorHAnsi" w:hAnsiTheme="minorHAnsi"/>
          <w:sz w:val="22"/>
          <w:szCs w:val="22"/>
        </w:rPr>
        <w:t xml:space="preserve"> sú</w:t>
      </w:r>
      <w:r w:rsidRPr="004F35DB">
        <w:rPr>
          <w:rFonts w:asciiTheme="minorHAnsi" w:hAnsiTheme="minorHAnsi"/>
          <w:sz w:val="22"/>
          <w:szCs w:val="22"/>
        </w:rPr>
        <w:t xml:space="preserve"> spôsobené odchodom mladých a vzdelaných ľudí za prácou mimo územie kraja.</w:t>
      </w:r>
    </w:p>
    <w:p w:rsidR="004F35DB" w:rsidRDefault="004F35DB" w:rsidP="00977969">
      <w:pPr>
        <w:pStyle w:val="Normlnywebov"/>
        <w:spacing w:before="0" w:beforeAutospacing="0" w:after="0" w:afterAutospacing="0" w:line="276" w:lineRule="auto"/>
        <w:jc w:val="both"/>
        <w:rPr>
          <w:rFonts w:asciiTheme="minorHAnsi" w:hAnsiTheme="minorHAnsi"/>
          <w:sz w:val="22"/>
          <w:szCs w:val="22"/>
        </w:rPr>
      </w:pPr>
      <w:r w:rsidRPr="004F35DB">
        <w:rPr>
          <w:rFonts w:asciiTheme="minorHAnsi" w:hAnsiTheme="minorHAnsi"/>
          <w:sz w:val="22"/>
          <w:szCs w:val="22"/>
        </w:rPr>
        <w:t xml:space="preserve">Navrhnuté priority rozvoja kraja uvedenej stratégie nie sú zamerané na riešenie zamestnanosti starších obyvateľov. </w:t>
      </w:r>
    </w:p>
    <w:p w:rsidR="000D173E" w:rsidRPr="00403E53" w:rsidRDefault="000D173E" w:rsidP="003518A8">
      <w:pPr>
        <w:spacing w:after="120"/>
        <w:jc w:val="both"/>
      </w:pPr>
    </w:p>
    <w:p w:rsidR="00AD0BCD" w:rsidRDefault="00AD0BCD" w:rsidP="004F35DB">
      <w:pPr>
        <w:pStyle w:val="Nadpis2"/>
        <w:numPr>
          <w:ilvl w:val="1"/>
          <w:numId w:val="29"/>
        </w:numPr>
        <w:spacing w:after="120"/>
        <w:ind w:left="391" w:firstLine="318"/>
        <w:jc w:val="both"/>
        <w:rPr>
          <w:rFonts w:asciiTheme="minorHAnsi" w:hAnsiTheme="minorHAnsi"/>
        </w:rPr>
      </w:pPr>
      <w:bookmarkStart w:id="10" w:name="_Toc536769642"/>
      <w:r w:rsidRPr="00AD0BCD">
        <w:rPr>
          <w:rFonts w:asciiTheme="minorHAnsi" w:hAnsiTheme="minorHAnsi"/>
        </w:rPr>
        <w:t xml:space="preserve">Programové </w:t>
      </w:r>
      <w:r w:rsidR="000A4A21">
        <w:rPr>
          <w:rFonts w:asciiTheme="minorHAnsi" w:hAnsiTheme="minorHAnsi"/>
        </w:rPr>
        <w:t xml:space="preserve">a plánovacie </w:t>
      </w:r>
      <w:r w:rsidRPr="00AD0BCD">
        <w:rPr>
          <w:rFonts w:asciiTheme="minorHAnsi" w:hAnsiTheme="minorHAnsi"/>
        </w:rPr>
        <w:t>dokumenty na regionálnej</w:t>
      </w:r>
      <w:r w:rsidR="00D012BD">
        <w:rPr>
          <w:rFonts w:asciiTheme="minorHAnsi" w:hAnsiTheme="minorHAnsi"/>
        </w:rPr>
        <w:t xml:space="preserve"> a</w:t>
      </w:r>
      <w:r w:rsidR="000F5E3C">
        <w:rPr>
          <w:rFonts w:asciiTheme="minorHAnsi" w:hAnsiTheme="minorHAnsi"/>
        </w:rPr>
        <w:t> </w:t>
      </w:r>
      <w:r w:rsidR="00D012BD" w:rsidRPr="004F3B11">
        <w:rPr>
          <w:rFonts w:asciiTheme="minorHAnsi" w:hAnsiTheme="minorHAnsi"/>
        </w:rPr>
        <w:t>miestnej</w:t>
      </w:r>
      <w:r w:rsidRPr="00AD0BCD">
        <w:rPr>
          <w:rFonts w:asciiTheme="minorHAnsi" w:hAnsiTheme="minorHAnsi"/>
        </w:rPr>
        <w:t xml:space="preserve"> úrovni</w:t>
      </w:r>
      <w:bookmarkEnd w:id="10"/>
      <w:r w:rsidRPr="00AD0BCD">
        <w:rPr>
          <w:rFonts w:asciiTheme="minorHAnsi" w:hAnsiTheme="minorHAnsi"/>
        </w:rPr>
        <w:t xml:space="preserve"> </w:t>
      </w:r>
    </w:p>
    <w:p w:rsidR="0063665B" w:rsidRDefault="0063665B" w:rsidP="0063665B">
      <w:pPr>
        <w:spacing w:after="120"/>
        <w:jc w:val="both"/>
      </w:pPr>
      <w:r>
        <w:t xml:space="preserve">Podpora regionálneho rozvoja sa podľa § 4 zákona 539/2008 Z. z. o podpore regionálneho rozvoja v znení neskorších zmien a doplnkov vykonáva podľa nasledujúcich dokumentov: </w:t>
      </w:r>
    </w:p>
    <w:p w:rsidR="0063665B" w:rsidRDefault="0063665B" w:rsidP="0063665B">
      <w:pPr>
        <w:pStyle w:val="Odsekzoznamu"/>
        <w:numPr>
          <w:ilvl w:val="0"/>
          <w:numId w:val="8"/>
        </w:numPr>
        <w:spacing w:after="120"/>
        <w:jc w:val="both"/>
      </w:pPr>
      <w:r>
        <w:t>programu rozvoja vyššieho územného celku,</w:t>
      </w:r>
    </w:p>
    <w:p w:rsidR="0063665B" w:rsidRDefault="0063665B" w:rsidP="0063665B">
      <w:pPr>
        <w:pStyle w:val="Odsekzoznamu"/>
        <w:numPr>
          <w:ilvl w:val="0"/>
          <w:numId w:val="8"/>
        </w:numPr>
        <w:spacing w:after="120"/>
        <w:jc w:val="both"/>
      </w:pPr>
      <w:r>
        <w:lastRenderedPageBreak/>
        <w:t>programu rozvoja obce,</w:t>
      </w:r>
    </w:p>
    <w:p w:rsidR="0063665B" w:rsidRDefault="0063665B" w:rsidP="0063665B">
      <w:pPr>
        <w:pStyle w:val="Odsekzoznamu"/>
        <w:numPr>
          <w:ilvl w:val="0"/>
          <w:numId w:val="8"/>
        </w:numPr>
        <w:spacing w:after="120"/>
        <w:jc w:val="both"/>
      </w:pPr>
      <w:r>
        <w:t xml:space="preserve">spoločného programu rozvoja obcí, </w:t>
      </w:r>
    </w:p>
    <w:p w:rsidR="0063665B" w:rsidRDefault="0063665B" w:rsidP="0063665B">
      <w:pPr>
        <w:spacing w:after="120"/>
        <w:jc w:val="both"/>
      </w:pPr>
      <w:r>
        <w:t>ktoré sa podobne, ako legislatíva uvedená v časti 1.2, dotýkajú širokého spektra oblastí rozvoja vrátane zamestnanosti, ktorá je základnou podmienkou zvyšovania životnej úrovne obyvateľstva, pričom zvyšovanie životnej úrovne je aj súčasťou troch hlavných cieľov podpory regionálneho rozvoja.</w:t>
      </w:r>
    </w:p>
    <w:p w:rsidR="0063665B" w:rsidRDefault="0063665B" w:rsidP="006B74B2">
      <w:pPr>
        <w:spacing w:after="120"/>
        <w:jc w:val="both"/>
      </w:pPr>
      <w:r w:rsidRPr="002F0CE6">
        <w:rPr>
          <w:b/>
          <w:u w:val="single"/>
        </w:rPr>
        <w:t>Program rozvoja vyššieho územného celku</w:t>
      </w:r>
      <w:r w:rsidRPr="00CA3B75">
        <w:t xml:space="preserve"> </w:t>
      </w:r>
      <w:r>
        <w:t xml:space="preserve">(ďalej VÚC) je strednodobý rozvojový dokument kraja, ktorý VÚC vypracováva v spolupráci so všetkými kľúčovými aktérmi regionálneho rozvoja na území kraja v súlade s cieľmi a prioritami národnej stratégie regionálneho rozvoja a programovými dokumentmi Európskej Únie pre príslušné programové obdobie. Programy rozvoja sa pre súčasné programové obdobie vypracovávali podľa „Metodiky tvorby programov hospodárskeho a sociálneho rozvoja obce/obcí/VÚC“ zverejnenej na webovej stránke Úradu vlády SR (predtým pred prechodom kompetencií v oblasti regionálneho rozvoja na Úrad vlády SR na stránke Ministerstva dopravy, výstavby </w:t>
      </w:r>
    </w:p>
    <w:p w:rsidR="0063665B" w:rsidRDefault="0063665B" w:rsidP="0063665B">
      <w:pPr>
        <w:spacing w:after="120"/>
        <w:jc w:val="both"/>
      </w:pPr>
      <w:r w:rsidRPr="005B522A">
        <w:t>Prog</w:t>
      </w:r>
      <w:r>
        <w:t>ram hospodárskeho a sociálneho rozvoja Banskobystrického samosprávneho kraja na r. 2015</w:t>
      </w:r>
      <w:r w:rsidR="004920B9">
        <w:t xml:space="preserve"> –  </w:t>
      </w:r>
      <w:r>
        <w:t xml:space="preserve">2023 bol schválený Uznesením Zastupiteľstva Banskobystrického samosprávneho kraja č. 198/2015 zo dňa 11. decembra 2015. </w:t>
      </w:r>
    </w:p>
    <w:p w:rsidR="0063665B" w:rsidRPr="0063665B" w:rsidRDefault="0063665B" w:rsidP="0063665B">
      <w:pPr>
        <w:spacing w:after="120"/>
        <w:jc w:val="both"/>
        <w:rPr>
          <w:b/>
          <w:color w:val="4F81BD" w:themeColor="accent1"/>
          <w:sz w:val="24"/>
          <w:szCs w:val="24"/>
          <w:u w:val="single"/>
        </w:rPr>
      </w:pPr>
      <w:r w:rsidRPr="0063665B">
        <w:rPr>
          <w:b/>
          <w:color w:val="4F81BD" w:themeColor="accent1"/>
          <w:sz w:val="24"/>
          <w:szCs w:val="24"/>
          <w:u w:val="single"/>
        </w:rPr>
        <w:t>Program hospodárskeho a sociálneho rozvoja Banskobystrického samosprávneho kraja na r. 2015</w:t>
      </w:r>
      <w:r w:rsidR="004920B9">
        <w:rPr>
          <w:b/>
          <w:color w:val="4F81BD" w:themeColor="accent1"/>
          <w:sz w:val="24"/>
          <w:szCs w:val="24"/>
          <w:u w:val="single"/>
        </w:rPr>
        <w:t xml:space="preserve"> </w:t>
      </w:r>
      <w:r w:rsidR="004920B9">
        <w:t xml:space="preserve">– </w:t>
      </w:r>
      <w:r w:rsidRPr="0063665B">
        <w:rPr>
          <w:b/>
          <w:color w:val="4F81BD" w:themeColor="accent1"/>
          <w:sz w:val="24"/>
          <w:szCs w:val="24"/>
          <w:u w:val="single"/>
        </w:rPr>
        <w:t>2023</w:t>
      </w:r>
    </w:p>
    <w:p w:rsidR="0063665B" w:rsidRDefault="0063665B" w:rsidP="0063665B">
      <w:pPr>
        <w:spacing w:after="120"/>
        <w:jc w:val="both"/>
        <w:rPr>
          <w:rFonts w:ascii="Calibri" w:hAnsi="Calibri"/>
        </w:rPr>
      </w:pPr>
      <w:r>
        <w:t xml:space="preserve">Spracovanie vyššie uvedeného  dokumentu ukladá zákon č. 539/2008 Z. z. o podpore regionálneho rozvoja v znení neskorších zmien a doplnkov, v zmysle § 7 citovaného zákona </w:t>
      </w:r>
      <w:r w:rsidRPr="00DB2E49">
        <w:rPr>
          <w:rFonts w:ascii="Calibri" w:hAnsi="Calibri"/>
          <w:color w:val="000000"/>
          <w:shd w:val="clear" w:color="auto" w:fill="FFFFFF"/>
        </w:rPr>
        <w:t>je vypracovaný v súlade s</w:t>
      </w:r>
      <w:r>
        <w:rPr>
          <w:rFonts w:ascii="Calibri" w:hAnsi="Calibri"/>
          <w:color w:val="000000"/>
          <w:shd w:val="clear" w:color="auto" w:fill="FFFFFF"/>
        </w:rPr>
        <w:t> </w:t>
      </w:r>
      <w:r w:rsidRPr="00DB2E49">
        <w:rPr>
          <w:rFonts w:ascii="Calibri" w:hAnsi="Calibri"/>
          <w:color w:val="000000"/>
          <w:shd w:val="clear" w:color="auto" w:fill="FFFFFF"/>
        </w:rPr>
        <w:t>cieľmi</w:t>
      </w:r>
      <w:r>
        <w:rPr>
          <w:rFonts w:ascii="Calibri" w:hAnsi="Calibri"/>
          <w:color w:val="000000"/>
          <w:shd w:val="clear" w:color="auto" w:fill="FFFFFF"/>
        </w:rPr>
        <w:t>,</w:t>
      </w:r>
      <w:r w:rsidRPr="00DB2E49">
        <w:rPr>
          <w:rFonts w:ascii="Calibri" w:hAnsi="Calibri"/>
          <w:color w:val="000000"/>
          <w:shd w:val="clear" w:color="auto" w:fill="FFFFFF"/>
        </w:rPr>
        <w:t xml:space="preserve"> prioritami ustanovenými v národnej stratégii a</w:t>
      </w:r>
      <w:r>
        <w:rPr>
          <w:rFonts w:ascii="Calibri" w:hAnsi="Calibri"/>
          <w:color w:val="000000"/>
          <w:shd w:val="clear" w:color="auto" w:fill="FFFFFF"/>
        </w:rPr>
        <w:t> </w:t>
      </w:r>
      <w:r w:rsidRPr="00DB2E49">
        <w:rPr>
          <w:rFonts w:ascii="Calibri" w:hAnsi="Calibri"/>
          <w:color w:val="000000"/>
          <w:shd w:val="clear" w:color="auto" w:fill="FFFFFF"/>
        </w:rPr>
        <w:t>podľa záväznej časti územnoplánovacej dokumentácie regiónu.</w:t>
      </w:r>
      <w:r>
        <w:rPr>
          <w:rFonts w:ascii="Calibri" w:hAnsi="Calibri"/>
          <w:color w:val="000000"/>
          <w:shd w:val="clear" w:color="auto" w:fill="FFFFFF"/>
        </w:rPr>
        <w:t xml:space="preserve"> Dokument má </w:t>
      </w:r>
      <w:r>
        <w:rPr>
          <w:rFonts w:ascii="Calibri" w:hAnsi="Calibri"/>
        </w:rPr>
        <w:t>analytickú, strategickú a programovú časť.</w:t>
      </w:r>
    </w:p>
    <w:p w:rsidR="0063665B" w:rsidRPr="00DB2E49" w:rsidRDefault="0063665B" w:rsidP="0063665B">
      <w:pPr>
        <w:spacing w:after="120"/>
        <w:jc w:val="both"/>
      </w:pPr>
      <w:r w:rsidRPr="00DB2E49">
        <w:rPr>
          <w:rFonts w:ascii="Calibri" w:hAnsi="Calibri"/>
        </w:rPr>
        <w:t xml:space="preserve">Analytická časť dokumentu sa nevenuje vekovej štruktúre zamestnancov a ani zamestnávaniu špeciálne len skupine pracovníkov nad 50 rokov veku. </w:t>
      </w:r>
    </w:p>
    <w:p w:rsidR="0063665B" w:rsidRDefault="0063665B" w:rsidP="0063665B">
      <w:pPr>
        <w:spacing w:after="120"/>
        <w:jc w:val="both"/>
      </w:pPr>
      <w:r>
        <w:t xml:space="preserve">Strategická časť dokumentu venovaná zamestnanosti vo všeobecnosti v kraji vychádza z viacerých závažných problémov Banskobystrického kraja v porovnaní s ostatnými krajmi SR – a to hlavne  dlhodobo druhej najvyššej miery evidovanej miery nezamestnanosti v SR (po Prešovskom kraji), všeobecnému nedostatku akýchkoľvek voľných pracovných miest v kraji najmä v juhovýchodných okresoch kraja, odchodu mladých a kvalifikovanej pracovnej sily z kraja, nedostatku kvalifikovanej pracovnej sily technického zamerania, veľkej disproporcii medzi požiadavkami trhu práce a vzdelávacou ponukou škôl, nezáujmu o samozamestnanie sa a odklonu štruktúry a obsahu existujúceho vzdelávacieho systému od potrieb praxe kraja. </w:t>
      </w:r>
    </w:p>
    <w:p w:rsidR="0063665B" w:rsidRDefault="0063665B" w:rsidP="0063665B">
      <w:pPr>
        <w:spacing w:after="120"/>
        <w:jc w:val="both"/>
      </w:pPr>
      <w:r>
        <w:t>V Programovej časti dokumentu sa problematike vzdelávania a zamestnanosti  venuje:</w:t>
      </w:r>
    </w:p>
    <w:p w:rsidR="0063665B" w:rsidRDefault="0063665B" w:rsidP="0063665B">
      <w:pPr>
        <w:spacing w:after="120"/>
        <w:jc w:val="both"/>
      </w:pPr>
      <w:r w:rsidRPr="007A580D">
        <w:rPr>
          <w:u w:val="single"/>
        </w:rPr>
        <w:t>Prioritná oblasť č. 2 „Lepšia kvalita života – Služby pre ľudí“</w:t>
      </w:r>
      <w:r>
        <w:t xml:space="preserve"> v špecifickom cieli  č. 2.1 Modernizovať všetky stupne vzdelávania v kontexte celoživotného vzdelávania;</w:t>
      </w:r>
    </w:p>
    <w:p w:rsidR="0063665B" w:rsidRDefault="0063665B" w:rsidP="0063665B">
      <w:pPr>
        <w:spacing w:after="120"/>
        <w:jc w:val="both"/>
      </w:pPr>
      <w:r w:rsidRPr="007A580D">
        <w:rPr>
          <w:u w:val="single"/>
        </w:rPr>
        <w:t xml:space="preserve">Prioritná oblasť č. 3 „Konkurencieschopná </w:t>
      </w:r>
      <w:r w:rsidRPr="00F26455">
        <w:rPr>
          <w:u w:val="single"/>
        </w:rPr>
        <w:t>ekonomika – udržateľné a konkurencieschopné miestne ekonomiky“</w:t>
      </w:r>
      <w:r>
        <w:t xml:space="preserve">. Prioritná oblasť č. 3 je zameraná hlavne na podporu podnikania, rozvoja cestovného ruchu, kreatívnej ekonomiky, inovácií, poľnohospodárstva a lesného hospodárstva a tvorbu nových pracovných miest. Indikované projekty/podporované aktivity by mali byť zamerané všeobecne na vznik </w:t>
      </w:r>
      <w:r>
        <w:lastRenderedPageBreak/>
        <w:t xml:space="preserve">nových podnikateľských aktivít a nových pracovných miest, využívanie domácej surovinovej základne a ľudských zdrojov, podporu inovačného rozvoja, podporu vytvárania inkubátorov, akcelerátory, HUB, </w:t>
      </w:r>
      <w:proofErr w:type="spellStart"/>
      <w:r>
        <w:t>coworkingových</w:t>
      </w:r>
      <w:proofErr w:type="spellEnd"/>
      <w:r>
        <w:t xml:space="preserve"> centier, regionálnej značky a subjektov sociálnej ekonomiky. </w:t>
      </w:r>
    </w:p>
    <w:p w:rsidR="0063665B" w:rsidRDefault="0063665B" w:rsidP="0063665B">
      <w:pPr>
        <w:spacing w:after="120"/>
        <w:jc w:val="both"/>
      </w:pPr>
      <w:r>
        <w:t>PHSR BBSK na r. 2015</w:t>
      </w:r>
      <w:r w:rsidR="004920B9">
        <w:t xml:space="preserve"> – </w:t>
      </w:r>
      <w:r>
        <w:t>2023 sa v oblasti zvyšovania zamestnanosti začal reálne realizovať v pomerne obmedzenom rozsahu len od r. 2016 a to v oblasti propagácie a podpory rozširovania značky „</w:t>
      </w:r>
      <w:r w:rsidRPr="007A580D">
        <w:rPr>
          <w:b/>
        </w:rPr>
        <w:t xml:space="preserve">regionálny produkt“ </w:t>
      </w:r>
      <w:r>
        <w:t xml:space="preserve">a v oblasti podpory  sociálnej ekonomiky, pričom tieto dve oblasti majú reálny vplyv aj na zvýšenie zamestnávania starších. V r. 2018 pribudli k trom pred niekoľkými rokmi zavedeným značkám regionálny produkt - Hont, Podpoľanie a Gemer-Malohont - dve nové značky – Pohronie a Novohrad. </w:t>
      </w:r>
    </w:p>
    <w:p w:rsidR="0063665B" w:rsidRDefault="0063665B" w:rsidP="0063665B">
      <w:pPr>
        <w:spacing w:after="120"/>
        <w:jc w:val="center"/>
      </w:pPr>
      <w:r>
        <w:rPr>
          <w:noProof/>
          <w:lang w:eastAsia="sk-SK"/>
        </w:rPr>
        <w:drawing>
          <wp:inline distT="0" distB="0" distL="0" distR="0">
            <wp:extent cx="3651885" cy="2753867"/>
            <wp:effectExtent l="19050" t="0" r="5715" b="0"/>
            <wp:docPr id="16" name="obrázek 2" descr="C:\Users\User\Desktop\Značky v B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Značky v BBK.jpg"/>
                    <pic:cNvPicPr>
                      <a:picLocks noChangeAspect="1" noChangeArrowheads="1"/>
                    </pic:cNvPicPr>
                  </pic:nvPicPr>
                  <pic:blipFill>
                    <a:blip r:embed="rId16" cstate="print"/>
                    <a:srcRect t="7118" b="2135"/>
                    <a:stretch>
                      <a:fillRect/>
                    </a:stretch>
                  </pic:blipFill>
                  <pic:spPr bwMode="auto">
                    <a:xfrm>
                      <a:off x="0" y="0"/>
                      <a:ext cx="3651885" cy="2753867"/>
                    </a:xfrm>
                    <a:prstGeom prst="rect">
                      <a:avLst/>
                    </a:prstGeom>
                    <a:noFill/>
                    <a:ln w="9525">
                      <a:noFill/>
                      <a:miter lim="800000"/>
                      <a:headEnd/>
                      <a:tailEnd/>
                    </a:ln>
                  </pic:spPr>
                </pic:pic>
              </a:graphicData>
            </a:graphic>
          </wp:inline>
        </w:drawing>
      </w:r>
    </w:p>
    <w:p w:rsidR="0063665B" w:rsidRDefault="0063665B" w:rsidP="0063665B">
      <w:pPr>
        <w:spacing w:after="120"/>
        <w:jc w:val="center"/>
      </w:pPr>
      <w:r>
        <w:t>Mapka B</w:t>
      </w:r>
      <w:r w:rsidR="00040FDE">
        <w:t>BK</w:t>
      </w:r>
      <w:r>
        <w:t xml:space="preserve"> s vyznačenými územiami pokrývajúcimi jednotlivé značky</w:t>
      </w:r>
      <w:r w:rsidR="00040FDE">
        <w:t xml:space="preserve"> regionálneho produktu</w:t>
      </w:r>
    </w:p>
    <w:p w:rsidR="008E1C8A" w:rsidRDefault="008E1C8A" w:rsidP="005E2ED2">
      <w:pPr>
        <w:spacing w:after="120"/>
        <w:jc w:val="both"/>
      </w:pPr>
    </w:p>
    <w:p w:rsidR="0063665B" w:rsidRDefault="0063665B" w:rsidP="005E2ED2">
      <w:pPr>
        <w:spacing w:after="120"/>
        <w:jc w:val="both"/>
      </w:pPr>
      <w:r>
        <w:t xml:space="preserve">Význam zavedenia a podpory propagácie týchto značiek sa vzhľadom na skutočnosť, že značky sú udeľované hlavne na tradičné výrobky/produkty a služby v pôvodných historických regiónoch, pri ktorých výrobe  sú používané nielen domáce suroviny z daného regiónu, ale sú pri nich využívané najmä pôvodné receptúry, pričom sú zúročované najmä skúsenosti starších osôb, čo vytvára predpoklady aj na ich zamestnávanie. Analýzou veku certifikovaných držiteľov značiek regionálny produkt v BBK bolo zistené, </w:t>
      </w:r>
      <w:r w:rsidRPr="007A580D">
        <w:t xml:space="preserve">že </w:t>
      </w:r>
      <w:r>
        <w:t>približne</w:t>
      </w:r>
      <w:r w:rsidRPr="00F26455">
        <w:rPr>
          <w:color w:val="FF0000"/>
        </w:rPr>
        <w:t xml:space="preserve"> </w:t>
      </w:r>
      <w:r w:rsidRPr="00BC50CE">
        <w:t>40 % certifikovaných držiteľov</w:t>
      </w:r>
      <w:r w:rsidRPr="00F26455">
        <w:rPr>
          <w:color w:val="FF0000"/>
        </w:rPr>
        <w:t xml:space="preserve"> </w:t>
      </w:r>
      <w:r>
        <w:t xml:space="preserve">značky </w:t>
      </w:r>
      <w:r w:rsidRPr="007A580D">
        <w:t>má viac ako 50 rokov</w:t>
      </w:r>
      <w:r>
        <w:t>.</w:t>
      </w:r>
    </w:p>
    <w:p w:rsidR="0063665B" w:rsidRDefault="0063665B" w:rsidP="0063665B">
      <w:pPr>
        <w:spacing w:after="120"/>
        <w:jc w:val="both"/>
      </w:pPr>
      <w:r>
        <w:t xml:space="preserve">V októbri 2018 bolo Zastupiteľstvom BBSK schválené zriadenie </w:t>
      </w:r>
      <w:r w:rsidRPr="007A580D">
        <w:rPr>
          <w:b/>
        </w:rPr>
        <w:t>prvého krajskéh</w:t>
      </w:r>
      <w:r>
        <w:rPr>
          <w:b/>
        </w:rPr>
        <w:t>o</w:t>
      </w:r>
      <w:r w:rsidRPr="007A580D">
        <w:rPr>
          <w:b/>
        </w:rPr>
        <w:t xml:space="preserve"> sociálneho podniku </w:t>
      </w:r>
      <w:r>
        <w:t xml:space="preserve">Rozvojové služby BBSK s. r. o. so sídlom v Brezne, vznik ktorého nadväzuje na programové priority kraja v oblasti sociálnej ekonomiky a má za cieľ podporiť zamestnanosť a prechod znevýhodnených osôb na pracovný trh. Ide o pilotný projekt, na ktorý by malo nadväzovať založenie ďalších troch sociálnych podnikov.  </w:t>
      </w:r>
    </w:p>
    <w:p w:rsidR="0063665B" w:rsidRPr="00E87F09" w:rsidRDefault="0063665B" w:rsidP="0063665B">
      <w:pPr>
        <w:spacing w:after="120"/>
        <w:jc w:val="both"/>
      </w:pPr>
      <w:r w:rsidRPr="00E87F09">
        <w:t xml:space="preserve">Opatrenia PHSR týkajúce sa celoživotného vzdelávania majú taktiež vplyv na zvýšenie zamestnanosti, no BBSK v sledovanom období nerealizoval žiadne konkrétne vzdelávacie aktivity určené pre sledovanú skupinu osôb 50+. </w:t>
      </w:r>
    </w:p>
    <w:p w:rsidR="005E2ED2" w:rsidRDefault="005E2ED2" w:rsidP="0063665B">
      <w:pPr>
        <w:spacing w:after="120"/>
        <w:jc w:val="both"/>
      </w:pPr>
    </w:p>
    <w:p w:rsidR="004C0065" w:rsidRPr="008E08B8" w:rsidRDefault="008E08B8" w:rsidP="004C0065">
      <w:pPr>
        <w:spacing w:after="120"/>
        <w:jc w:val="both"/>
        <w:rPr>
          <w:color w:val="4F81BD" w:themeColor="accent1"/>
          <w:sz w:val="24"/>
          <w:szCs w:val="24"/>
        </w:rPr>
      </w:pPr>
      <w:r w:rsidRPr="008E08B8">
        <w:rPr>
          <w:b/>
          <w:color w:val="4F81BD" w:themeColor="accent1"/>
          <w:sz w:val="24"/>
          <w:szCs w:val="24"/>
        </w:rPr>
        <w:t>STRATÉGIE CLLD</w:t>
      </w:r>
    </w:p>
    <w:p w:rsidR="004C0065" w:rsidRPr="004234F3" w:rsidRDefault="004C0065" w:rsidP="004C0065">
      <w:pPr>
        <w:spacing w:after="120"/>
        <w:jc w:val="both"/>
      </w:pPr>
      <w:r w:rsidRPr="009222EF">
        <w:t>Pri vymedzení</w:t>
      </w:r>
      <w:r>
        <w:t xml:space="preserve"> </w:t>
      </w:r>
      <w:r w:rsidRPr="009222EF">
        <w:t xml:space="preserve">legislatívy a dokumentov vzťahujúcich sa k zamestnávaniu osôb vo veku 50+ na vidieku je potrebné spomenúť aj predpisy a dokumenty vzťahujúce sa k implementácii stratégií miestneho rozvoja vedeného komunitou v programovom období 2014 – 2020 </w:t>
      </w:r>
      <w:r w:rsidR="001E0490">
        <w:t>–</w:t>
      </w:r>
      <w:r w:rsidRPr="009222EF">
        <w:t xml:space="preserve"> tzv. stratégie CLLD – z anglického výrazu “</w:t>
      </w:r>
      <w:proofErr w:type="spellStart"/>
      <w:r w:rsidRPr="009222EF">
        <w:rPr>
          <w:b/>
        </w:rPr>
        <w:t>C</w:t>
      </w:r>
      <w:r w:rsidRPr="009222EF">
        <w:t>ommunity</w:t>
      </w:r>
      <w:proofErr w:type="spellEnd"/>
      <w:r w:rsidRPr="009222EF">
        <w:t xml:space="preserve"> </w:t>
      </w:r>
      <w:proofErr w:type="spellStart"/>
      <w:r w:rsidRPr="009222EF">
        <w:rPr>
          <w:b/>
        </w:rPr>
        <w:t>L</w:t>
      </w:r>
      <w:r w:rsidRPr="009222EF">
        <w:t>ed</w:t>
      </w:r>
      <w:proofErr w:type="spellEnd"/>
      <w:r w:rsidRPr="009222EF">
        <w:t xml:space="preserve"> </w:t>
      </w:r>
      <w:proofErr w:type="spellStart"/>
      <w:r w:rsidRPr="009222EF">
        <w:rPr>
          <w:b/>
        </w:rPr>
        <w:t>L</w:t>
      </w:r>
      <w:r w:rsidRPr="009222EF">
        <w:t>ocal</w:t>
      </w:r>
      <w:proofErr w:type="spellEnd"/>
      <w:r w:rsidRPr="009222EF">
        <w:t xml:space="preserve"> </w:t>
      </w:r>
      <w:proofErr w:type="spellStart"/>
      <w:r w:rsidRPr="009222EF">
        <w:rPr>
          <w:b/>
        </w:rPr>
        <w:t>D</w:t>
      </w:r>
      <w:r w:rsidRPr="009222EF">
        <w:t>evelopment</w:t>
      </w:r>
      <w:proofErr w:type="spellEnd"/>
      <w:r w:rsidRPr="009222EF">
        <w:t xml:space="preserve">“ </w:t>
      </w:r>
      <w:r w:rsidR="001E0490">
        <w:t>–</w:t>
      </w:r>
      <w:r w:rsidRPr="009222EF">
        <w:t xml:space="preserve"> v preklade miestny rozvoj vedený komunitou. Je to nástroj na zapájanie miestnych aktérov do rozhodovania o sociálnom, environmentálnom a ekonomickom rozvoji svojho územia. Je založený na princípe zdola-nahor a na prístupe LEADER – (</w:t>
      </w:r>
      <w:proofErr w:type="spellStart"/>
      <w:r w:rsidRPr="009222EF">
        <w:rPr>
          <w:rStyle w:val="Siln"/>
        </w:rPr>
        <w:t>L</w:t>
      </w:r>
      <w:r w:rsidRPr="009222EF">
        <w:t>iaison</w:t>
      </w:r>
      <w:proofErr w:type="spellEnd"/>
      <w:r w:rsidRPr="009222EF">
        <w:t xml:space="preserve"> </w:t>
      </w:r>
      <w:proofErr w:type="spellStart"/>
      <w:r w:rsidRPr="009222EF">
        <w:rPr>
          <w:rStyle w:val="Siln"/>
        </w:rPr>
        <w:t>E</w:t>
      </w:r>
      <w:r w:rsidRPr="009222EF">
        <w:t>ntre</w:t>
      </w:r>
      <w:proofErr w:type="spellEnd"/>
      <w:r w:rsidRPr="009222EF">
        <w:t xml:space="preserve"> </w:t>
      </w:r>
      <w:proofErr w:type="spellStart"/>
      <w:r w:rsidRPr="009222EF">
        <w:rPr>
          <w:rStyle w:val="Siln"/>
        </w:rPr>
        <w:t>A</w:t>
      </w:r>
      <w:r w:rsidRPr="009222EF">
        <w:t>ctions</w:t>
      </w:r>
      <w:proofErr w:type="spellEnd"/>
      <w:r w:rsidRPr="009222EF">
        <w:t xml:space="preserve"> de </w:t>
      </w:r>
      <w:proofErr w:type="spellStart"/>
      <w:r w:rsidRPr="009222EF">
        <w:rPr>
          <w:rStyle w:val="Siln"/>
        </w:rPr>
        <w:t>D</w:t>
      </w:r>
      <w:r w:rsidRPr="009222EF">
        <w:t>éveloppement</w:t>
      </w:r>
      <w:proofErr w:type="spellEnd"/>
      <w:r w:rsidRPr="009222EF">
        <w:t xml:space="preserve"> de </w:t>
      </w:r>
      <w:proofErr w:type="spellStart"/>
      <w:r w:rsidRPr="009222EF">
        <w:t>le</w:t>
      </w:r>
      <w:proofErr w:type="spellEnd"/>
      <w:r w:rsidRPr="009222EF">
        <w:t xml:space="preserve"> </w:t>
      </w:r>
      <w:proofErr w:type="spellStart"/>
      <w:r w:rsidRPr="009222EF">
        <w:rPr>
          <w:rStyle w:val="Siln"/>
        </w:rPr>
        <w:t>É</w:t>
      </w:r>
      <w:r w:rsidRPr="009222EF">
        <w:t>conomie</w:t>
      </w:r>
      <w:proofErr w:type="spellEnd"/>
      <w:r w:rsidRPr="009222EF">
        <w:t xml:space="preserve"> </w:t>
      </w:r>
      <w:proofErr w:type="spellStart"/>
      <w:r w:rsidRPr="009222EF">
        <w:rPr>
          <w:rStyle w:val="Siln"/>
        </w:rPr>
        <w:t>R</w:t>
      </w:r>
      <w:r w:rsidRPr="009222EF">
        <w:t>urale</w:t>
      </w:r>
      <w:proofErr w:type="spellEnd"/>
      <w:r w:rsidRPr="009222EF">
        <w:t xml:space="preserve"> v preklade znamená spájanie aktivít, ktoré podporujú hospodársky rozvoj vidieka) využívanom od r. 1991 ako samostatná iniciatíva Európskej únie a neskôr ako súčasť programov rozvoja vidieka. Tento prístup je v poslednom programovom období uskutočňovaný prostredníctvom integrovaných stratégií miestneho rozvoja </w:t>
      </w:r>
      <w:r w:rsidR="001E0490">
        <w:t>–</w:t>
      </w:r>
      <w:r w:rsidRPr="009222EF">
        <w:t xml:space="preserve"> stratégií CLLD vypracovávaných verejno-súkromnými partnerstvami podľa miestnych potrieb a možností, ktoré po schválení stratégie príslušným štátnym orgánom nadobúdajú štatút miestnej akčnej skupiny.  </w:t>
      </w:r>
    </w:p>
    <w:p w:rsidR="004C0065" w:rsidRPr="009222EF" w:rsidRDefault="004C0065" w:rsidP="004C0065">
      <w:pPr>
        <w:spacing w:after="120"/>
        <w:jc w:val="both"/>
      </w:pPr>
      <w:r w:rsidRPr="009222EF">
        <w:t>Stratégia CLLD definovaná Nariadením Európskeho parlamentu a Rady EÚ č. 1303/2013 „ako ucelený súbor operácií, účelom ktorého je plniť miestne ciele a uspokojovať miestne potreby</w:t>
      </w:r>
      <w:r w:rsidR="001E0490">
        <w:t>,</w:t>
      </w:r>
      <w:r w:rsidRPr="009222EF">
        <w:t xml:space="preserve"> a ktorý prispieva k plneniu stratégie Únie na zabezpečenie inteligentného, udržateľného a inkluzívneho rastu, a ktorý je navrhnutý a realizovaný miestnou akčnou skupinou“ (MAS). V súlade s Partnerskou dohodou SR na roky 2014 </w:t>
      </w:r>
      <w:r w:rsidR="001E0490">
        <w:t>–</w:t>
      </w:r>
      <w:r w:rsidRPr="009222EF">
        <w:t xml:space="preserve"> 2020 sa na podporu nástroja CLLD využíva Európsky poľnohospodársky fond pre rozvoj vidieka prostredníctvom Programu rozvoja vidieka SR 2014</w:t>
      </w:r>
      <w:r w:rsidR="001E0490">
        <w:t xml:space="preserve"> – </w:t>
      </w:r>
      <w:r w:rsidRPr="009222EF">
        <w:t>2020 a Európsky fond regionálneho rozvoja prostredníctvom Integrovaného regionálneho operačného programu 2014</w:t>
      </w:r>
      <w:r w:rsidR="001E0490">
        <w:t xml:space="preserve"> – </w:t>
      </w:r>
      <w:r w:rsidRPr="009222EF">
        <w:t xml:space="preserve">2020. Stratégie CLLD pripravovali MAS ako </w:t>
      </w:r>
      <w:proofErr w:type="spellStart"/>
      <w:r w:rsidRPr="009222EF">
        <w:t>multifondové</w:t>
      </w:r>
      <w:proofErr w:type="spellEnd"/>
      <w:r w:rsidRPr="009222EF">
        <w:t>, t. j. financované z obidvoch vyššie uvedených fondov vychádzajúc zo Systému riadenia európskych štrukturálnych a investičných fondov a zo Systému riadenia CLLD pre programové obdobie 2014</w:t>
      </w:r>
      <w:r w:rsidR="001E0490">
        <w:t xml:space="preserve"> – </w:t>
      </w:r>
      <w:r w:rsidRPr="009222EF">
        <w:t xml:space="preserve">2020. </w:t>
      </w:r>
    </w:p>
    <w:p w:rsidR="004C0065" w:rsidRDefault="004C0065" w:rsidP="004C0065">
      <w:pPr>
        <w:spacing w:after="120"/>
        <w:jc w:val="both"/>
      </w:pPr>
      <w:r w:rsidRPr="009222EF">
        <w:t xml:space="preserve">V SR je v  programovom období 2014 – 2020 z pozície riadiaceho orgánu </w:t>
      </w:r>
      <w:r w:rsidRPr="00040FDE">
        <w:t xml:space="preserve">pre Program rozvoja vidieka SR 2014 – 2020 a Integrovaný regionálny operačný program 2014 – 2020 </w:t>
      </w:r>
      <w:r w:rsidRPr="009222EF">
        <w:t>hlavným orgánom zodpovedným za koordináciu prípravy a implementácie stratégií CLLD Ministerstvo pôdohospodárstva a rozvoja vidieka SR.</w:t>
      </w:r>
      <w:r>
        <w:t xml:space="preserve"> </w:t>
      </w:r>
    </w:p>
    <w:p w:rsidR="004C0065" w:rsidRDefault="004C0065" w:rsidP="004C0065">
      <w:pPr>
        <w:spacing w:after="120"/>
        <w:jc w:val="both"/>
      </w:pPr>
      <w:r>
        <w:t>Stratégie musia obsahovať analytický, strategický, implementačný a finančný rámec. Analýza musí obsahovať nielen analýzu zdrojov územia, ale aj identifikáciu jeho potrieb. Strategický rámec musí mať definovanú víziu a strategický cieľ, stanovené priority, špecifické ciele a opatrenia spolu so znakmi integrácie a inovačnými znakmi stratégie. Implementačný rámec musí obsahovať nielen akčný plán ale musí popísať aj riadiaci</w:t>
      </w:r>
      <w:r w:rsidR="001E0490">
        <w:t>,</w:t>
      </w:r>
      <w:r>
        <w:t> implementačný, hodnotiaci a monitorovací proces.</w:t>
      </w:r>
    </w:p>
    <w:p w:rsidR="00FB0DB0" w:rsidRDefault="004C0065" w:rsidP="003518A8">
      <w:pPr>
        <w:spacing w:after="120"/>
        <w:jc w:val="both"/>
      </w:pPr>
      <w:r>
        <w:t xml:space="preserve">Na území neformálnych partnerov projektu “Zamestnávania 50+ na regionálnej úrovni“, t. j. na území miestnych akčných skupín (ďalej MAS) Hontiansko - </w:t>
      </w:r>
      <w:proofErr w:type="spellStart"/>
      <w:r>
        <w:t>Dobronivského</w:t>
      </w:r>
      <w:proofErr w:type="spellEnd"/>
      <w:r>
        <w:t xml:space="preserve"> partnerstva, MAS Hontiansko </w:t>
      </w:r>
      <w:r w:rsidR="001E0490">
        <w:t>-</w:t>
      </w:r>
      <w:r>
        <w:t xml:space="preserve"> Novohradského partnerstva a MAS Malohont nachádzajúcich sa na území Banskobystrického kraja boli v dobe vypracovania tohto dokumentu vypracované tri </w:t>
      </w:r>
      <w:r w:rsidR="00FB0DB0">
        <w:t xml:space="preserve">stratégie. </w:t>
      </w:r>
    </w:p>
    <w:p w:rsidR="005E2ED2" w:rsidRDefault="005E2ED2" w:rsidP="00C96876">
      <w:pPr>
        <w:spacing w:after="120"/>
        <w:jc w:val="both"/>
        <w:rPr>
          <w:b/>
          <w:color w:val="4F81BD" w:themeColor="accent1"/>
          <w:sz w:val="24"/>
          <w:szCs w:val="24"/>
          <w:u w:val="single"/>
        </w:rPr>
      </w:pPr>
    </w:p>
    <w:p w:rsidR="00C96876" w:rsidRDefault="00C96876" w:rsidP="00C96876">
      <w:pPr>
        <w:spacing w:after="120"/>
        <w:jc w:val="both"/>
        <w:rPr>
          <w:b/>
          <w:u w:val="single"/>
        </w:rPr>
      </w:pPr>
      <w:r w:rsidRPr="00C96876">
        <w:rPr>
          <w:b/>
          <w:color w:val="4F81BD" w:themeColor="accent1"/>
          <w:sz w:val="24"/>
          <w:szCs w:val="24"/>
          <w:u w:val="single"/>
        </w:rPr>
        <w:lastRenderedPageBreak/>
        <w:t>Stratégia CLLD MAS MALOHONT s názvom: „Srdcom spätí s Malohontom, jeho rozvoj je naším mottom“</w:t>
      </w:r>
      <w:r w:rsidR="00C567DA" w:rsidRPr="00EB316D">
        <w:rPr>
          <w:b/>
          <w:color w:val="4F81BD" w:themeColor="accent1"/>
          <w:sz w:val="24"/>
          <w:szCs w:val="24"/>
        </w:rPr>
        <w:t xml:space="preserve"> </w:t>
      </w:r>
      <w:r>
        <w:t>na roky 2016 – 2023 s výhľadom do roku 2030</w:t>
      </w:r>
    </w:p>
    <w:p w:rsidR="00762137" w:rsidRDefault="00C96876" w:rsidP="00762137">
      <w:pPr>
        <w:spacing w:after="120"/>
        <w:jc w:val="both"/>
      </w:pPr>
      <w:r w:rsidRPr="00BE5F72">
        <w:t xml:space="preserve">MAS Malohont vznikla </w:t>
      </w:r>
      <w:r>
        <w:t xml:space="preserve">už </w:t>
      </w:r>
      <w:r w:rsidRPr="00BE5F72">
        <w:t>v r. 2007. V rámci programového obdobia 2014 –</w:t>
      </w:r>
      <w:r>
        <w:t xml:space="preserve"> 20</w:t>
      </w:r>
      <w:r w:rsidRPr="00BE5F72">
        <w:t>20 bola opätovne schválená v</w:t>
      </w:r>
      <w:r>
        <w:t> rámci výzvy č. 21/PRV/2017 v rámci 1. kola</w:t>
      </w:r>
      <w:r w:rsidRPr="00BE5F72">
        <w:t xml:space="preserve"> Výberovou komisiou pre schvaľovanie stratég</w:t>
      </w:r>
      <w:r>
        <w:t>i</w:t>
      </w:r>
      <w:r w:rsidRPr="00BE5F72">
        <w:t>í CLLD a výber MAS</w:t>
      </w:r>
      <w:r>
        <w:t xml:space="preserve">. Nachádza sa vo východnej časti Banskobystrického kraja na území 43 obcí okresov Rimavská Sobota, Poltár a Revúca, ktoré patria v zmysle Zákona č. 336/2015 o podpore najmenej rozvinutých okresov  do skupiny najmenej rozvinutých okresoch. </w:t>
      </w:r>
      <w:r w:rsidR="00762137">
        <w:t xml:space="preserve"> </w:t>
      </w:r>
    </w:p>
    <w:p w:rsidR="00762137" w:rsidRPr="00C96876" w:rsidRDefault="00762137" w:rsidP="00762137">
      <w:pPr>
        <w:spacing w:after="120"/>
        <w:jc w:val="both"/>
      </w:pPr>
      <w:r>
        <w:t xml:space="preserve">Na území MAS, ktorá sa nachádza na historickom území Malohontu </w:t>
      </w:r>
      <w:r w:rsidR="001E0490">
        <w:t>–</w:t>
      </w:r>
      <w:r>
        <w:t xml:space="preserve"> z čoho bol odvodený aj názov MAS, žije 28,5 tisíca obyvateľov, z toho najviac v meste Hnúšťa – 7,2 tisíc a v obciach Klenovec a Kokava nad Rimavicou cca po 3 tisíc.</w:t>
      </w:r>
    </w:p>
    <w:p w:rsidR="00C96876" w:rsidRDefault="00C96876" w:rsidP="00C96876">
      <w:pPr>
        <w:spacing w:after="120"/>
        <w:jc w:val="both"/>
      </w:pPr>
      <w:r>
        <w:t>Pre naplnenie dlhodobej vízie a dosiahnutie strategického cieľa stratégie boli definované 3 prioritné oblasti rozvoja územia MAS MALOHONT, do ktorých budú smerovať dostupné zdroje, úsilie a čas zainteresovaných miestnych obyvateľov a subjektov.</w:t>
      </w:r>
    </w:p>
    <w:p w:rsidR="00C96876" w:rsidRDefault="00C96876" w:rsidP="00C96876">
      <w:pPr>
        <w:spacing w:after="120"/>
        <w:jc w:val="both"/>
      </w:pPr>
      <w:r>
        <w:t xml:space="preserve">Prvou prioritnou oblasťou je „Región príťažlivý pre obyvateľov“, v rámci ktorej budú prostredníctvom MAS podporované investície do infraštruktúry malých rozmerov, rozširovanie a skvalitňovanie základných služieb s dôrazom na sociálne služby za účelom zvyšovania kvality života obyvateľov, čo je základným predpokladom pre zvyšovanie ich spoluúčasti na rozvoji územia MAS. Súčasťou priority je aj podpora prevádzky a animácie územia MAS, ktorá okrem rozvoja miestnych ľudských zdrojov vytvára podmienky pre posielanie spolupráce a propagácie územia MAS. </w:t>
      </w:r>
    </w:p>
    <w:p w:rsidR="00C96876" w:rsidRDefault="00C96876" w:rsidP="00C96876">
      <w:pPr>
        <w:spacing w:after="120"/>
        <w:jc w:val="both"/>
      </w:pPr>
      <w:r>
        <w:t xml:space="preserve">Druhou prioritnou oblasťou je „Región príťažlivý pre podnikateľov“. V rámci tejto priority je podpora zameraná predovšetkým na rozvoj podnikateľských aktivít v území MAS najmä v oblasti poľnohospodárstva, výroby miestnych produktov, marketingu a spolupráce. Okrem zatraktívnenia regiónu v očiach podnikateľov je účelom tejto podpory najmä udržanie a tvorba pracovných miest v území MAS, ako aj posilnenie miestnej ekonomiky. </w:t>
      </w:r>
    </w:p>
    <w:p w:rsidR="00C96876" w:rsidRDefault="00C96876" w:rsidP="00C96876">
      <w:pPr>
        <w:spacing w:after="120"/>
        <w:jc w:val="both"/>
      </w:pPr>
      <w:r>
        <w:t>Predmetom tretej priority „Región príťažlivý pre návštevníkov“ je podpora aktivít smerujúcich k zvýšeniu príťažlivosti regiónu v oblasti cestovného ruchu. Zahŕňa rôznorodé aktivity od budovania nových atrakcií využívajúcich miestne danosti a špecifiká, cez skvalitnenie služieb a informovanosti turistov až po marketing a spoluprácu subjektov pôsobiacich v cestovnom ruchu.</w:t>
      </w:r>
    </w:p>
    <w:p w:rsidR="00C96876" w:rsidRPr="00FB0DB0" w:rsidRDefault="00C96876" w:rsidP="00C96876">
      <w:pPr>
        <w:spacing w:after="120"/>
        <w:jc w:val="both"/>
        <w:rPr>
          <w:b/>
        </w:rPr>
      </w:pPr>
      <w:r w:rsidRPr="00FB0DB0">
        <w:rPr>
          <w:b/>
        </w:rPr>
        <w:t>Strategický cieľ</w:t>
      </w:r>
    </w:p>
    <w:p w:rsidR="00C96876" w:rsidRPr="003D3808" w:rsidRDefault="00C96876" w:rsidP="00C96876">
      <w:pPr>
        <w:spacing w:after="120"/>
        <w:jc w:val="both"/>
      </w:pPr>
      <w:r>
        <w:t xml:space="preserve">Posilniť životaschopnosť regiónu Malohont skvalitnením života obyvateľov, zlepšením podmienok pre podnikanie, zhodnotením miestneho potenciálu </w:t>
      </w:r>
      <w:r w:rsidR="003D3808">
        <w:t>v cestovnom ruchu a</w:t>
      </w:r>
      <w:r w:rsidR="00A52448">
        <w:t> </w:t>
      </w:r>
      <w:r w:rsidR="003D3808">
        <w:t>spoluprácou</w:t>
      </w:r>
      <w:r w:rsidR="00A52448">
        <w:t>.</w:t>
      </w:r>
    </w:p>
    <w:p w:rsidR="00C96876" w:rsidRPr="007E4BC7" w:rsidRDefault="00C96876" w:rsidP="00C96876">
      <w:pPr>
        <w:spacing w:after="120"/>
        <w:jc w:val="both"/>
        <w:rPr>
          <w:b/>
        </w:rPr>
      </w:pPr>
      <w:r w:rsidRPr="007E4BC7">
        <w:rPr>
          <w:b/>
        </w:rPr>
        <w:t>Špecifické ciele v rámci priorít stratégie CLLD</w:t>
      </w:r>
      <w:r>
        <w:rPr>
          <w:b/>
        </w:rPr>
        <w:t xml:space="preserve"> MAS MALOHONT</w:t>
      </w:r>
      <w:r w:rsidRPr="007E4BC7">
        <w:rPr>
          <w:b/>
        </w:rPr>
        <w:t xml:space="preserve">: </w:t>
      </w:r>
    </w:p>
    <w:p w:rsidR="00C96876" w:rsidRDefault="00C96876" w:rsidP="00C96876">
      <w:pPr>
        <w:spacing w:after="0"/>
        <w:jc w:val="both"/>
      </w:pPr>
      <w:r>
        <w:t>1.1 Zlepšiť kvalitu a dostupnosť základných služieb budovaním a rekonštrukciou infraštruktúry</w:t>
      </w:r>
    </w:p>
    <w:p w:rsidR="00C96876" w:rsidRDefault="00C96876" w:rsidP="00C96876">
      <w:pPr>
        <w:spacing w:after="0"/>
        <w:jc w:val="both"/>
      </w:pPr>
      <w:r>
        <w:t>1.2 Zvýšiť participáciu obyvateľov a miestnych subjektov na rozvoji regiónu</w:t>
      </w:r>
    </w:p>
    <w:p w:rsidR="00C96876" w:rsidRDefault="00C96876" w:rsidP="00C96876">
      <w:pPr>
        <w:spacing w:after="0"/>
        <w:jc w:val="both"/>
      </w:pPr>
      <w:r>
        <w:t>2.1 Zvýšiť tvorbu pracovných miest v regióne podporou miestnych podnikateľov</w:t>
      </w:r>
    </w:p>
    <w:p w:rsidR="00C96876" w:rsidRDefault="00C96876" w:rsidP="00C96876">
      <w:pPr>
        <w:spacing w:after="0"/>
        <w:jc w:val="both"/>
      </w:pPr>
      <w:r>
        <w:t>3.1 Zlepšiť kvalitu ponuky cestovného ruchu a propagáciu regiónu.</w:t>
      </w:r>
    </w:p>
    <w:p w:rsidR="00FB0DB0" w:rsidRDefault="00FB0DB0" w:rsidP="003518A8">
      <w:pPr>
        <w:spacing w:after="120"/>
        <w:jc w:val="both"/>
      </w:pPr>
    </w:p>
    <w:p w:rsidR="00FB0DB0" w:rsidRPr="00FB0DB0" w:rsidRDefault="00FB0DB0" w:rsidP="00FB0DB0">
      <w:pPr>
        <w:spacing w:after="120"/>
        <w:jc w:val="both"/>
        <w:rPr>
          <w:b/>
          <w:color w:val="4F81BD" w:themeColor="accent1"/>
          <w:sz w:val="24"/>
          <w:szCs w:val="24"/>
          <w:u w:val="single"/>
        </w:rPr>
      </w:pPr>
      <w:r w:rsidRPr="00FB0DB0">
        <w:rPr>
          <w:b/>
          <w:color w:val="4F81BD" w:themeColor="accent1"/>
          <w:sz w:val="24"/>
          <w:szCs w:val="24"/>
          <w:u w:val="single"/>
        </w:rPr>
        <w:lastRenderedPageBreak/>
        <w:t xml:space="preserve">Stratégia miestneho rozvoja vedeného komunitou CLLD Verejno-súkromného partnerstva Hontiansko - </w:t>
      </w:r>
      <w:proofErr w:type="spellStart"/>
      <w:r w:rsidRPr="00FB0DB0">
        <w:rPr>
          <w:b/>
          <w:color w:val="4F81BD" w:themeColor="accent1"/>
          <w:sz w:val="24"/>
          <w:szCs w:val="24"/>
          <w:u w:val="single"/>
        </w:rPr>
        <w:t>Dobronivského</w:t>
      </w:r>
      <w:proofErr w:type="spellEnd"/>
      <w:r w:rsidRPr="00FB0DB0">
        <w:t xml:space="preserve"> </w:t>
      </w:r>
      <w:r w:rsidRPr="004F3B11">
        <w:t>s víziou do r. 2023</w:t>
      </w:r>
    </w:p>
    <w:p w:rsidR="004F3B11" w:rsidRPr="004F3B11" w:rsidRDefault="00FB0DB0" w:rsidP="00762137">
      <w:pPr>
        <w:spacing w:after="0"/>
        <w:jc w:val="both"/>
      </w:pPr>
      <w:r>
        <w:t xml:space="preserve">VSP </w:t>
      </w:r>
      <w:r w:rsidRPr="004F3B11">
        <w:t>pokrýva územie  južnej časti okresu Zvolen</w:t>
      </w:r>
      <w:r>
        <w:t>. Tvorí ho 12 obcí  a mesto</w:t>
      </w:r>
      <w:r w:rsidRPr="004F3B11">
        <w:t xml:space="preserve"> Krupina.  Na území MAS žije približne 18,3 tisíc obyvateľov, z toho najviac v meste Krupina – 8 tis. a v obciach Dobrá Niva a Pliešovce po cca 2 tis. obyvateľov.</w:t>
      </w:r>
    </w:p>
    <w:p w:rsidR="004F3B11" w:rsidRDefault="004F3B11" w:rsidP="003518A8">
      <w:pPr>
        <w:pStyle w:val="Odsekzoznamu"/>
        <w:spacing w:after="120"/>
        <w:jc w:val="both"/>
        <w:rPr>
          <w:color w:val="1F497D" w:themeColor="text2"/>
        </w:rPr>
      </w:pPr>
    </w:p>
    <w:p w:rsidR="00762137" w:rsidRDefault="00762137" w:rsidP="00762137">
      <w:pPr>
        <w:spacing w:after="120"/>
        <w:jc w:val="both"/>
      </w:pPr>
      <w:r w:rsidRPr="00DB3082">
        <w:t>VSP vzniklo s cieľom riešiť príčiny problémov</w:t>
      </w:r>
      <w:r>
        <w:t xml:space="preserve"> rozvoja </w:t>
      </w:r>
      <w:r w:rsidRPr="00DB3082">
        <w:t>vidieka</w:t>
      </w:r>
      <w:r>
        <w:t xml:space="preserve"> na území partnerstva</w:t>
      </w:r>
      <w:r w:rsidRPr="00DB3082">
        <w:t>. Tvorcovia str</w:t>
      </w:r>
      <w:r>
        <w:t>a</w:t>
      </w:r>
      <w:r w:rsidRPr="00DB3082">
        <w:t>tégie vychádzali z vý</w:t>
      </w:r>
      <w:r>
        <w:t>s</w:t>
      </w:r>
      <w:r w:rsidRPr="00DB3082">
        <w:t>ledkov analýz, ktoré jasne ukázali nevyužité prírodné a</w:t>
      </w:r>
      <w:r>
        <w:t xml:space="preserve"> </w:t>
      </w:r>
      <w:r w:rsidRPr="00DB3082">
        <w:t>kultúrno-historické možnosti úze</w:t>
      </w:r>
      <w:r>
        <w:t>m</w:t>
      </w:r>
      <w:r w:rsidRPr="00DB3082">
        <w:t>ia. Ich využ</w:t>
      </w:r>
      <w:r>
        <w:t>ívaním</w:t>
      </w:r>
      <w:r w:rsidRPr="00DB3082">
        <w:t xml:space="preserve"> by sa mohli vyriešiť</w:t>
      </w:r>
      <w:r>
        <w:t xml:space="preserve"> najmä</w:t>
      </w:r>
      <w:r w:rsidRPr="00DB3082">
        <w:t xml:space="preserve"> problémy s nedostatkom pracovných príležitostí, ktoré spôsobujú odchod mladých a vzdelaných ľudí z územia. Za cestu do budúcnosti považujú rozvoj farmárčenia, cestovného ruchu, výroby a služieb. </w:t>
      </w:r>
    </w:p>
    <w:p w:rsidR="00762137" w:rsidRDefault="00762137" w:rsidP="00762137">
      <w:pPr>
        <w:spacing w:after="120"/>
        <w:jc w:val="both"/>
        <w:rPr>
          <w:b/>
        </w:rPr>
      </w:pPr>
      <w:r w:rsidRPr="007E4BC7">
        <w:rPr>
          <w:b/>
        </w:rPr>
        <w:t>Strategický cieľ:</w:t>
      </w:r>
    </w:p>
    <w:p w:rsidR="00762137" w:rsidRPr="00B935B3" w:rsidRDefault="00762137" w:rsidP="00762137">
      <w:pPr>
        <w:jc w:val="both"/>
      </w:pPr>
      <w:r w:rsidRPr="00B935B3">
        <w:t>Zabezpečiť udržateľný ekonomický a sociálny rozvoj a tvorbu pracovných miest prostredníctvom podpory podnikania, využívania potenciálu cestovného ruchu a zlepšovaním infraštruktúry a miestnych služieb</w:t>
      </w:r>
      <w:r w:rsidR="00A52448">
        <w:t>.</w:t>
      </w:r>
    </w:p>
    <w:p w:rsidR="00762137" w:rsidRDefault="00762137" w:rsidP="00762137">
      <w:pPr>
        <w:jc w:val="both"/>
        <w:rPr>
          <w:b/>
        </w:rPr>
      </w:pPr>
      <w:r>
        <w:rPr>
          <w:b/>
        </w:rPr>
        <w:t>Strategické priority definované v stratégii:</w:t>
      </w:r>
    </w:p>
    <w:p w:rsidR="00762137" w:rsidRPr="00B935B3" w:rsidRDefault="00762137" w:rsidP="00762137">
      <w:pPr>
        <w:spacing w:after="0"/>
        <w:jc w:val="both"/>
      </w:pPr>
      <w:r w:rsidRPr="00B935B3">
        <w:t>Priorita 1: Podpora podnikania a rozvoj cestovného ruchu</w:t>
      </w:r>
    </w:p>
    <w:p w:rsidR="00762137" w:rsidRPr="00B935B3" w:rsidRDefault="00762137" w:rsidP="00762137">
      <w:pPr>
        <w:spacing w:after="0"/>
        <w:jc w:val="both"/>
      </w:pPr>
      <w:r w:rsidRPr="00B935B3">
        <w:t>Priorita 2: Kvalitná verejná infraštruktúra a miestne služby</w:t>
      </w:r>
    </w:p>
    <w:p w:rsidR="00762137" w:rsidRPr="00B935B3" w:rsidRDefault="00762137" w:rsidP="00762137">
      <w:pPr>
        <w:spacing w:after="0"/>
        <w:jc w:val="both"/>
      </w:pPr>
      <w:r w:rsidRPr="00B935B3">
        <w:t>Priorita 3: Efektívne riadenie MAS a zapájanie občanov do rozhodovania</w:t>
      </w:r>
    </w:p>
    <w:p w:rsidR="00762137" w:rsidRDefault="00762137" w:rsidP="00762137">
      <w:pPr>
        <w:spacing w:after="0"/>
        <w:jc w:val="both"/>
      </w:pPr>
      <w:r w:rsidRPr="00B935B3">
        <w:t>Priorita 4: Efektívna spolupráca</w:t>
      </w:r>
      <w:r>
        <w:t>.</w:t>
      </w:r>
    </w:p>
    <w:p w:rsidR="008E08B8" w:rsidRDefault="008E08B8" w:rsidP="003518A8">
      <w:pPr>
        <w:spacing w:after="120"/>
        <w:jc w:val="both"/>
        <w:rPr>
          <w:b/>
          <w:color w:val="4F81BD" w:themeColor="accent1"/>
          <w:sz w:val="24"/>
          <w:szCs w:val="24"/>
          <w:u w:val="single"/>
        </w:rPr>
      </w:pPr>
    </w:p>
    <w:p w:rsidR="009E15E8" w:rsidRPr="003D3808" w:rsidRDefault="00FB0DB0" w:rsidP="003518A8">
      <w:pPr>
        <w:spacing w:after="120"/>
        <w:jc w:val="both"/>
        <w:rPr>
          <w:b/>
          <w:color w:val="4F81BD" w:themeColor="accent1"/>
          <w:sz w:val="24"/>
          <w:szCs w:val="24"/>
          <w:u w:val="single"/>
        </w:rPr>
      </w:pPr>
      <w:r w:rsidRPr="003D3808">
        <w:rPr>
          <w:b/>
          <w:color w:val="4F81BD" w:themeColor="accent1"/>
          <w:sz w:val="24"/>
          <w:szCs w:val="24"/>
          <w:u w:val="single"/>
        </w:rPr>
        <w:t>Stratégia CLLD Miestnej akčnej skupiny Hontiansk</w:t>
      </w:r>
      <w:r w:rsidR="00A26552" w:rsidRPr="003D3808">
        <w:rPr>
          <w:b/>
          <w:color w:val="4F81BD" w:themeColor="accent1"/>
          <w:sz w:val="24"/>
          <w:szCs w:val="24"/>
          <w:u w:val="single"/>
        </w:rPr>
        <w:t>o</w:t>
      </w:r>
      <w:r w:rsidR="00A52448">
        <w:rPr>
          <w:b/>
          <w:color w:val="4F81BD" w:themeColor="accent1"/>
          <w:sz w:val="24"/>
          <w:szCs w:val="24"/>
          <w:u w:val="single"/>
        </w:rPr>
        <w:t xml:space="preserve"> </w:t>
      </w:r>
      <w:r w:rsidR="00A26552" w:rsidRPr="003D3808">
        <w:rPr>
          <w:b/>
          <w:color w:val="4F81BD" w:themeColor="accent1"/>
          <w:sz w:val="24"/>
          <w:szCs w:val="24"/>
          <w:u w:val="single"/>
        </w:rPr>
        <w:t>-</w:t>
      </w:r>
      <w:r w:rsidR="00A52448">
        <w:rPr>
          <w:b/>
          <w:color w:val="4F81BD" w:themeColor="accent1"/>
          <w:sz w:val="24"/>
          <w:szCs w:val="24"/>
          <w:u w:val="single"/>
        </w:rPr>
        <w:t xml:space="preserve"> </w:t>
      </w:r>
      <w:r w:rsidR="00A26552" w:rsidRPr="003D3808">
        <w:rPr>
          <w:b/>
          <w:color w:val="4F81BD" w:themeColor="accent1"/>
          <w:sz w:val="24"/>
          <w:szCs w:val="24"/>
          <w:u w:val="single"/>
        </w:rPr>
        <w:t>Novohradské partnerstvo</w:t>
      </w:r>
    </w:p>
    <w:p w:rsidR="004F3B11" w:rsidRPr="004F3B11" w:rsidRDefault="00FB0DB0" w:rsidP="00FB0DB0">
      <w:pPr>
        <w:spacing w:after="120"/>
        <w:jc w:val="both"/>
      </w:pPr>
      <w:r>
        <w:t>P</w:t>
      </w:r>
      <w:r w:rsidR="00487AA9">
        <w:t>a</w:t>
      </w:r>
      <w:r w:rsidR="003D7CF8">
        <w:t xml:space="preserve">rtnerstvo sa nachádza na </w:t>
      </w:r>
      <w:r w:rsidR="004F3B11" w:rsidRPr="004F3B11">
        <w:t xml:space="preserve">území dvoch okresov </w:t>
      </w:r>
      <w:r w:rsidR="00A52448">
        <w:t>–</w:t>
      </w:r>
      <w:r w:rsidR="003D7CF8">
        <w:t xml:space="preserve"> </w:t>
      </w:r>
      <w:r w:rsidR="004F3B11" w:rsidRPr="004F3B11">
        <w:t xml:space="preserve">Krupina a Veľký Krtíš, pričom jeho územie tvorí 24 obcí a mesto Modrý Kameň. MAS má 10,1 tisíc obyvateľov. Z obcí má viac ako 1000 obyvateľov len sídlo MAS Bzovík a mesto Modrý Kameň, ktoré je 2. najmenšie mesto v SR s 1,5 tis. obyvateľmi. </w:t>
      </w:r>
    </w:p>
    <w:p w:rsidR="004F3B11" w:rsidRPr="004F3B11" w:rsidRDefault="004F3B11" w:rsidP="003518A8">
      <w:pPr>
        <w:spacing w:after="120"/>
        <w:jc w:val="both"/>
      </w:pPr>
      <w:r w:rsidRPr="004F3B11">
        <w:t>MAS ku dňu spracovania analýzy nemala schválenú stratégiu CLLD, preto stratégia ani nebola nikde zverejnená.</w:t>
      </w:r>
      <w:r w:rsidR="00BC50CE">
        <w:t xml:space="preserve"> </w:t>
      </w:r>
    </w:p>
    <w:p w:rsidR="00762137" w:rsidRPr="00EB316D" w:rsidRDefault="00762137" w:rsidP="00762137">
      <w:pPr>
        <w:pStyle w:val="Odsekzoznamu"/>
        <w:spacing w:after="120"/>
        <w:ind w:left="0"/>
        <w:jc w:val="both"/>
      </w:pPr>
      <w:r w:rsidRPr="009365A8">
        <w:t xml:space="preserve">Stratégia CLLD MAS </w:t>
      </w:r>
      <w:r w:rsidRPr="00EB316D">
        <w:t xml:space="preserve">Hontiansko - Novohradské partnerstvo nebola v dobe spracovania analýzy ešte schválená. Keďže stratégia nebola zverejnená, nižšie uvedený text ku stratégii bol použitý zo stránky Národnej siete rozvoja vidieka ku schváleniu </w:t>
      </w:r>
      <w:r w:rsidR="00C567DA" w:rsidRPr="00EB316D">
        <w:t>MAS Hontiansko</w:t>
      </w:r>
      <w:r w:rsidR="000826CE" w:rsidRPr="00EB316D">
        <w:t xml:space="preserve"> </w:t>
      </w:r>
      <w:r w:rsidR="00C567DA" w:rsidRPr="00EB316D">
        <w:t>-</w:t>
      </w:r>
      <w:r w:rsidR="000826CE" w:rsidRPr="00EB316D">
        <w:t xml:space="preserve"> </w:t>
      </w:r>
      <w:r w:rsidR="00C567DA" w:rsidRPr="00EB316D">
        <w:t>Novohradského</w:t>
      </w:r>
      <w:r w:rsidRPr="00EB316D">
        <w:t xml:space="preserve"> partnerstva. </w:t>
      </w:r>
    </w:p>
    <w:p w:rsidR="00762137" w:rsidRPr="00EB316D" w:rsidRDefault="00762137" w:rsidP="00762137">
      <w:pPr>
        <w:pStyle w:val="Odsekzoznamu"/>
        <w:spacing w:after="120"/>
        <w:ind w:left="0"/>
        <w:jc w:val="both"/>
        <w:rPr>
          <w:b/>
        </w:rPr>
      </w:pPr>
    </w:p>
    <w:p w:rsidR="00762137" w:rsidRDefault="00762137" w:rsidP="00762137">
      <w:pPr>
        <w:pStyle w:val="Odsekzoznamu"/>
        <w:spacing w:after="120"/>
        <w:ind w:left="0"/>
        <w:jc w:val="both"/>
        <w:rPr>
          <w:b/>
        </w:rPr>
      </w:pPr>
      <w:r w:rsidRPr="00EB316D">
        <w:rPr>
          <w:b/>
        </w:rPr>
        <w:t>Ciele projektu prípravy stratégie</w:t>
      </w:r>
      <w:r w:rsidR="0026253A" w:rsidRPr="00EB316D">
        <w:rPr>
          <w:b/>
        </w:rPr>
        <w:t>:</w:t>
      </w:r>
    </w:p>
    <w:p w:rsidR="00762137" w:rsidRPr="00347BB3" w:rsidRDefault="00762137" w:rsidP="00762137">
      <w:pPr>
        <w:pStyle w:val="Odsekzoznamu"/>
        <w:spacing w:after="120"/>
        <w:ind w:left="0"/>
        <w:jc w:val="both"/>
      </w:pPr>
      <w:r w:rsidRPr="00347BB3">
        <w:t>Zvýšenie konkurencieschopnosti poľnohospodárskych podnikov, ich diverzifikácia a podpora podnikania v cestovnom ruchu.</w:t>
      </w:r>
    </w:p>
    <w:p w:rsidR="00762137" w:rsidRPr="00347BB3" w:rsidRDefault="00762137" w:rsidP="00762137">
      <w:pPr>
        <w:pStyle w:val="Odsekzoznamu"/>
        <w:spacing w:after="120"/>
        <w:ind w:left="0"/>
        <w:jc w:val="both"/>
      </w:pPr>
      <w:r w:rsidRPr="00347BB3">
        <w:t>Rozvoj drobného vidieckeho priemyslu, remesiel a služieb.</w:t>
      </w:r>
    </w:p>
    <w:p w:rsidR="00762137" w:rsidRPr="00347BB3" w:rsidRDefault="00762137" w:rsidP="00762137">
      <w:pPr>
        <w:pStyle w:val="Odsekzoznamu"/>
        <w:spacing w:after="120"/>
        <w:ind w:left="0"/>
        <w:jc w:val="both"/>
      </w:pPr>
      <w:r w:rsidRPr="00347BB3">
        <w:t>Zlepšenie využitia potenciálu územia pre rozvoj cestovného ruchu.</w:t>
      </w:r>
    </w:p>
    <w:p w:rsidR="00762137" w:rsidRPr="00347BB3" w:rsidRDefault="00762137" w:rsidP="00762137">
      <w:pPr>
        <w:pStyle w:val="Odsekzoznamu"/>
        <w:spacing w:after="120"/>
        <w:ind w:left="0"/>
        <w:jc w:val="both"/>
      </w:pPr>
      <w:r w:rsidRPr="00347BB3">
        <w:t>Zlepšenie základnej infraštruktúry a dostupnosti a kvality miestnych služieb.</w:t>
      </w:r>
    </w:p>
    <w:p w:rsidR="00762137" w:rsidRPr="00347BB3" w:rsidRDefault="00762137" w:rsidP="00762137">
      <w:pPr>
        <w:pStyle w:val="Odsekzoznamu"/>
        <w:spacing w:after="120"/>
        <w:ind w:left="0"/>
        <w:jc w:val="both"/>
      </w:pPr>
      <w:r w:rsidRPr="00347BB3">
        <w:lastRenderedPageBreak/>
        <w:t>Zabezpečiť efektívnu implementáciu stratégie prostredníctvom kvalitného riadenia propagačných aktivít.</w:t>
      </w:r>
    </w:p>
    <w:p w:rsidR="00762137" w:rsidRDefault="00762137" w:rsidP="00762137">
      <w:pPr>
        <w:pStyle w:val="Odsekzoznamu"/>
        <w:spacing w:after="120"/>
        <w:ind w:left="0"/>
        <w:jc w:val="both"/>
      </w:pPr>
      <w:r w:rsidRPr="00347BB3">
        <w:t>Využiť spoluprácu na národnej a medzinárodnej úrovni pre efektívne plnenie cieľov stratégie CLLD.</w:t>
      </w:r>
    </w:p>
    <w:p w:rsidR="004F3B11" w:rsidRDefault="004F3B11" w:rsidP="003518A8">
      <w:pPr>
        <w:pStyle w:val="Odsekzoznamu"/>
        <w:spacing w:after="120"/>
        <w:jc w:val="both"/>
        <w:rPr>
          <w:color w:val="1F497D" w:themeColor="text2"/>
        </w:rPr>
      </w:pPr>
    </w:p>
    <w:p w:rsidR="004F3B11" w:rsidRPr="007F6D1D" w:rsidRDefault="004F3B11" w:rsidP="003518A8">
      <w:pPr>
        <w:pStyle w:val="Odsekzoznamu"/>
        <w:spacing w:after="120"/>
        <w:ind w:left="0"/>
        <w:jc w:val="both"/>
        <w:rPr>
          <w:b/>
        </w:rPr>
      </w:pPr>
      <w:r w:rsidRPr="007F6D1D">
        <w:rPr>
          <w:b/>
        </w:rPr>
        <w:t>Strategický cieľ:</w:t>
      </w:r>
    </w:p>
    <w:p w:rsidR="004F3B11" w:rsidRDefault="004F3B11" w:rsidP="003518A8">
      <w:pPr>
        <w:pStyle w:val="Odsekzoznamu"/>
        <w:spacing w:after="120"/>
        <w:ind w:left="0"/>
        <w:jc w:val="both"/>
      </w:pPr>
      <w:r w:rsidRPr="00FA7BCF">
        <w:t>Zabezpečiť udržateľný ekonomický a sociálny rozvoj a tvorbu pracovných miest prostredníctvom podpory podnikania, využívania potenciálu cestovného ruchu a zlepšovaním infraštruktúry a miestnych služieb</w:t>
      </w:r>
      <w:r w:rsidR="00DB1969">
        <w:t>.</w:t>
      </w:r>
    </w:p>
    <w:p w:rsidR="003068A4" w:rsidRDefault="003068A4" w:rsidP="003518A8">
      <w:pPr>
        <w:pStyle w:val="Odsekzoznamu"/>
        <w:spacing w:after="120"/>
        <w:ind w:left="0"/>
        <w:jc w:val="both"/>
        <w:rPr>
          <w:b/>
        </w:rPr>
      </w:pPr>
    </w:p>
    <w:p w:rsidR="004F3B11" w:rsidRPr="007F6D1D" w:rsidRDefault="004F3B11" w:rsidP="003518A8">
      <w:pPr>
        <w:pStyle w:val="Odsekzoznamu"/>
        <w:spacing w:after="120"/>
        <w:ind w:left="0"/>
        <w:jc w:val="both"/>
        <w:rPr>
          <w:b/>
        </w:rPr>
      </w:pPr>
      <w:r w:rsidRPr="007F6D1D">
        <w:rPr>
          <w:b/>
        </w:rPr>
        <w:t>Strategické priority:</w:t>
      </w:r>
    </w:p>
    <w:p w:rsidR="004F3B11" w:rsidRDefault="004F3B11" w:rsidP="003518A8">
      <w:pPr>
        <w:pStyle w:val="Odsekzoznamu"/>
        <w:spacing w:after="120"/>
        <w:ind w:left="0"/>
        <w:jc w:val="both"/>
      </w:pPr>
      <w:r>
        <w:t>Priorita 1: Podpora podnikania a rozvoj cestovného ruchu</w:t>
      </w:r>
    </w:p>
    <w:p w:rsidR="004F3B11" w:rsidRDefault="004F3B11" w:rsidP="003518A8">
      <w:pPr>
        <w:pStyle w:val="Odsekzoznamu"/>
        <w:spacing w:after="120"/>
        <w:ind w:left="0"/>
        <w:jc w:val="both"/>
      </w:pPr>
      <w:r>
        <w:t>Priorita 2: Kvalitná verejná infraštruktúra a miestne služby</w:t>
      </w:r>
    </w:p>
    <w:p w:rsidR="004F3B11" w:rsidRDefault="004F3B11" w:rsidP="003518A8">
      <w:pPr>
        <w:pStyle w:val="Odsekzoznamu"/>
        <w:spacing w:after="120"/>
        <w:ind w:left="0"/>
        <w:jc w:val="both"/>
      </w:pPr>
      <w:r>
        <w:t>Priorita 3: Efektívne riadenie MAS a zapájanie občanov do rozhodovania</w:t>
      </w:r>
    </w:p>
    <w:p w:rsidR="004F3B11" w:rsidRPr="00347BB3" w:rsidRDefault="004F3B11" w:rsidP="003518A8">
      <w:pPr>
        <w:pStyle w:val="Odsekzoznamu"/>
        <w:spacing w:after="120"/>
        <w:ind w:left="0"/>
        <w:jc w:val="both"/>
      </w:pPr>
      <w:r>
        <w:t>Priorita 4: Efektívna spolupráca</w:t>
      </w:r>
    </w:p>
    <w:p w:rsidR="003068A4" w:rsidRDefault="003068A4" w:rsidP="003518A8">
      <w:pPr>
        <w:shd w:val="clear" w:color="auto" w:fill="FFFFFF"/>
        <w:spacing w:after="120"/>
        <w:jc w:val="both"/>
        <w:rPr>
          <w:rFonts w:eastAsia="Times New Roman" w:cs="Arial"/>
          <w:b/>
          <w:color w:val="000000"/>
          <w:lang w:eastAsia="sk-SK"/>
        </w:rPr>
      </w:pPr>
    </w:p>
    <w:p w:rsidR="00A21B4F" w:rsidRDefault="00A21B4F" w:rsidP="00A21B4F">
      <w:pPr>
        <w:spacing w:after="0"/>
        <w:jc w:val="both"/>
      </w:pPr>
      <w:r>
        <w:t xml:space="preserve">Prepojenie   národných ,  regionálnych  a miestnych  dokumentov, stratégií, PHSR  a celkovo všetkých programových dokumentov. </w:t>
      </w:r>
    </w:p>
    <w:p w:rsidR="00A21B4F" w:rsidRPr="008E1C8A" w:rsidRDefault="00A21B4F" w:rsidP="00A21B4F">
      <w:pPr>
        <w:spacing w:after="0"/>
        <w:jc w:val="both"/>
        <w:rPr>
          <w:sz w:val="24"/>
          <w:szCs w:val="24"/>
        </w:rPr>
      </w:pPr>
      <w:r>
        <w:t xml:space="preserve">Platí pravidlo, že  aj najnižší programový dokument musí byť vypracovaný v súlade s vyšším dokumentom až po národnú úroveň.  V našom prípade   Stratégie  CLLD každej MAS  boli spracované a odsúhlasené tak, že sú v súlade s </w:t>
      </w:r>
      <w:r w:rsidRPr="008E1C8A">
        <w:rPr>
          <w:sz w:val="24"/>
          <w:szCs w:val="24"/>
        </w:rPr>
        <w:t>Program hospodárskeho a sociálneho rozvoja Banskobystrického samosprávneho kraja  na roky 2015 -2023.</w:t>
      </w:r>
    </w:p>
    <w:p w:rsidR="006B74B2" w:rsidRDefault="006B74B2" w:rsidP="003518A8">
      <w:pPr>
        <w:shd w:val="clear" w:color="auto" w:fill="FFFFFF"/>
        <w:spacing w:after="120"/>
        <w:jc w:val="both"/>
      </w:pPr>
    </w:p>
    <w:p w:rsidR="00762137" w:rsidRPr="008E08B8" w:rsidRDefault="008E08B8" w:rsidP="003D7CF8">
      <w:pPr>
        <w:spacing w:after="120"/>
        <w:jc w:val="both"/>
        <w:rPr>
          <w:b/>
          <w:color w:val="4F81BD" w:themeColor="accent1"/>
          <w:sz w:val="24"/>
          <w:szCs w:val="24"/>
        </w:rPr>
      </w:pPr>
      <w:r w:rsidRPr="008E08B8">
        <w:rPr>
          <w:b/>
          <w:color w:val="4F81BD" w:themeColor="accent1"/>
          <w:sz w:val="24"/>
          <w:szCs w:val="24"/>
        </w:rPr>
        <w:t>AKČNÉ PLÁNY NAJMENEJ ROZVINUTÝCH OKRESOV</w:t>
      </w:r>
    </w:p>
    <w:p w:rsidR="003D7CF8" w:rsidRDefault="003D7CF8" w:rsidP="003D7CF8">
      <w:pPr>
        <w:spacing w:after="120"/>
        <w:jc w:val="both"/>
      </w:pPr>
      <w:r w:rsidRPr="00762137">
        <w:rPr>
          <w:b/>
        </w:rPr>
        <w:t>Zákon č.336/2015 Z. z.</w:t>
      </w:r>
      <w:r w:rsidRPr="00762137">
        <w:t xml:space="preserve"> </w:t>
      </w:r>
      <w:r w:rsidRPr="00762137">
        <w:rPr>
          <w:b/>
        </w:rPr>
        <w:t>o podpore najmenej rozvinutých okresov</w:t>
      </w:r>
      <w:r w:rsidRPr="00EB316D">
        <w:t xml:space="preserve"> </w:t>
      </w:r>
      <w:r w:rsidRPr="000141A0">
        <w:t>v znení neskorších zmien a doplnkov</w:t>
      </w:r>
      <w:r w:rsidRPr="00EB316D">
        <w:t xml:space="preserve"> </w:t>
      </w:r>
      <w:r w:rsidRPr="009222EF">
        <w:t>umožňuje na základe vládou schválených akčných plánov jednotlivý</w:t>
      </w:r>
      <w:r w:rsidR="00762137">
        <w:t>m okresom</w:t>
      </w:r>
      <w:r w:rsidRPr="009222EF">
        <w:t xml:space="preserve"> získavať finančné prostriedky</w:t>
      </w:r>
      <w:r w:rsidR="00762137">
        <w:t xml:space="preserve"> na rozvoj</w:t>
      </w:r>
      <w:r w:rsidRPr="009222EF">
        <w:t xml:space="preserve">. Akčné plány obsahujú analýzu nepriaznivého hospodárskeho, sociálneho a environmentálneho </w:t>
      </w:r>
      <w:r w:rsidRPr="00BC50CE">
        <w:t>stavu,</w:t>
      </w:r>
      <w:r w:rsidRPr="0080569C">
        <w:rPr>
          <w:color w:val="FF0000"/>
        </w:rPr>
        <w:t xml:space="preserve"> </w:t>
      </w:r>
      <w:r w:rsidRPr="009222EF">
        <w:t xml:space="preserve">zhodnocujú rozvojový potenciál a navrhujú opatrenia na zlepšenie </w:t>
      </w:r>
      <w:r>
        <w:t>stavu. Plán je vypracovaný na 5 </w:t>
      </w:r>
      <w:r w:rsidRPr="009222EF">
        <w:t xml:space="preserve">rokov. Jeho cieľom je odstraňovanie zaostávania najmenej rozvinutých okresov, </w:t>
      </w:r>
      <w:r w:rsidRPr="00762137">
        <w:rPr>
          <w:b/>
        </w:rPr>
        <w:t>znižovanie vysokej miery nezamestnanosti</w:t>
      </w:r>
      <w:r w:rsidRPr="009222EF">
        <w:t xml:space="preserve"> v danom okrese. Podľa § 2 zákona do zoznamu najmenej rozvinutých okresov sú v Banskobystrickom kraji zapísané okresy: Lučenec, Poltár, Revúca, Rimavská Sobota a Veľký Krtíš. </w:t>
      </w:r>
      <w:r>
        <w:t>Tieto okresy sa týkajú značnej časti obyvateľstva kraja. Banskobystrický kraj, má k 31.</w:t>
      </w:r>
      <w:r w:rsidR="0011161A">
        <w:t xml:space="preserve"> </w:t>
      </w:r>
      <w:r>
        <w:t>12.</w:t>
      </w:r>
      <w:r w:rsidR="0011161A">
        <w:t xml:space="preserve"> </w:t>
      </w:r>
      <w:r>
        <w:t xml:space="preserve">2017 celkove 652 266 obyvateľov, z toho má okres Lučenec 73 849 obyvateľov, okres Poltár 21 644 obyvateľov, okres Revúca 39 971 obyvateľov, okres Rimavská Sobota 84 331 obyvateľov a okres Veľký Krtíš 43 992 obyvateľov. </w:t>
      </w:r>
      <w:r w:rsidR="00583AC7">
        <w:t xml:space="preserve"> </w:t>
      </w:r>
    </w:p>
    <w:p w:rsidR="003D7CF8" w:rsidRDefault="003D7CF8" w:rsidP="003D7CF8">
      <w:pPr>
        <w:spacing w:after="120"/>
        <w:jc w:val="both"/>
      </w:pPr>
    </w:p>
    <w:p w:rsidR="008E1C8A" w:rsidRDefault="008E1C8A" w:rsidP="003D7CF8">
      <w:pPr>
        <w:spacing w:after="120"/>
        <w:jc w:val="both"/>
      </w:pPr>
    </w:p>
    <w:p w:rsidR="008E1C8A" w:rsidRDefault="008E1C8A" w:rsidP="003D7CF8">
      <w:pPr>
        <w:spacing w:after="120"/>
        <w:jc w:val="both"/>
      </w:pPr>
    </w:p>
    <w:p w:rsidR="008E1C8A" w:rsidRDefault="008E1C8A" w:rsidP="003D7CF8">
      <w:pPr>
        <w:spacing w:after="120"/>
        <w:jc w:val="both"/>
      </w:pPr>
    </w:p>
    <w:p w:rsidR="003D7CF8" w:rsidRDefault="003D7CF8" w:rsidP="003D7CF8">
      <w:pPr>
        <w:spacing w:after="120"/>
        <w:jc w:val="both"/>
      </w:pPr>
      <w:r>
        <w:lastRenderedPageBreak/>
        <w:t xml:space="preserve">V nasledujúcom diagrame je prehľad o % </w:t>
      </w:r>
      <w:r w:rsidRPr="00576B8B">
        <w:t>obyvateľov najmenej</w:t>
      </w:r>
      <w:r>
        <w:t xml:space="preserve"> rozvinutých okreso</w:t>
      </w:r>
      <w:r w:rsidR="0011161A">
        <w:t>v</w:t>
      </w:r>
      <w:r>
        <w:t xml:space="preserve"> a kraja. </w:t>
      </w:r>
    </w:p>
    <w:p w:rsidR="003D7CF8" w:rsidRDefault="003D7CF8" w:rsidP="003D7CF8">
      <w:pPr>
        <w:spacing w:after="120"/>
        <w:jc w:val="both"/>
        <w:sectPr w:rsidR="003D7CF8" w:rsidSect="000A4A21">
          <w:headerReference w:type="default" r:id="rId17"/>
          <w:footerReference w:type="default" r:id="rId18"/>
          <w:headerReference w:type="first" r:id="rId19"/>
          <w:type w:val="continuous"/>
          <w:pgSz w:w="11906" w:h="16838"/>
          <w:pgMar w:top="2410" w:right="1417" w:bottom="1417" w:left="1417" w:header="708" w:footer="708" w:gutter="0"/>
          <w:cols w:space="708"/>
          <w:titlePg/>
          <w:docGrid w:linePitch="360"/>
        </w:sectPr>
      </w:pPr>
    </w:p>
    <w:p w:rsidR="003D7CF8" w:rsidRDefault="003D7CF8" w:rsidP="003D7CF8">
      <w:pPr>
        <w:jc w:val="both"/>
        <w:rPr>
          <w:b/>
        </w:rPr>
      </w:pPr>
      <w:r w:rsidRPr="006C7513">
        <w:rPr>
          <w:noProof/>
          <w:lang w:eastAsia="sk-SK"/>
        </w:rPr>
        <w:drawing>
          <wp:inline distT="0" distB="0" distL="0" distR="0">
            <wp:extent cx="2773680" cy="2029691"/>
            <wp:effectExtent l="0" t="0" r="7620" b="8890"/>
            <wp:docPr id="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D7CF8" w:rsidRDefault="003D7CF8" w:rsidP="003D7CF8">
      <w:pPr>
        <w:jc w:val="both"/>
        <w:sectPr w:rsidR="003D7CF8" w:rsidSect="006C7513">
          <w:type w:val="continuous"/>
          <w:pgSz w:w="11906" w:h="16838"/>
          <w:pgMar w:top="2410" w:right="1417" w:bottom="1417" w:left="1417" w:header="708" w:footer="708" w:gutter="0"/>
          <w:cols w:num="2" w:space="708"/>
          <w:titlePg/>
          <w:docGrid w:linePitch="360"/>
        </w:sectPr>
      </w:pPr>
      <w:r w:rsidRPr="006C7513">
        <w:rPr>
          <w:noProof/>
          <w:lang w:eastAsia="sk-SK"/>
        </w:rPr>
        <w:drawing>
          <wp:inline distT="0" distB="0" distL="0" distR="0">
            <wp:extent cx="2655570" cy="2036618"/>
            <wp:effectExtent l="0" t="0" r="11430" b="1905"/>
            <wp:docPr id="1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7CF8" w:rsidRPr="009222EF" w:rsidRDefault="003D7CF8" w:rsidP="003D7CF8">
      <w:pPr>
        <w:spacing w:after="120"/>
        <w:jc w:val="both"/>
      </w:pPr>
      <w:r>
        <w:t>Na odstránenie nepriaznivej situácie je vypracovaný pre každý okres zaradený v zozname najmenej rozvinutých okresov akčný plán.</w:t>
      </w:r>
    </w:p>
    <w:p w:rsidR="00583AC7" w:rsidRDefault="00583AC7" w:rsidP="00583AC7">
      <w:pPr>
        <w:spacing w:after="120"/>
        <w:jc w:val="both"/>
      </w:pPr>
      <w:r>
        <w:t>V analýze sme sa zamerali na okresy, územie ktorých zasahuj</w:t>
      </w:r>
      <w:r>
        <w:t>e</w:t>
      </w:r>
      <w:r>
        <w:t xml:space="preserve"> </w:t>
      </w:r>
      <w:r>
        <w:t xml:space="preserve">do </w:t>
      </w:r>
      <w:r>
        <w:t>predmetných MAS -  Rimavská Sobota a Veľký Krtíš.</w:t>
      </w:r>
    </w:p>
    <w:p w:rsidR="00583AC7" w:rsidRDefault="00583AC7" w:rsidP="003D7CF8">
      <w:pPr>
        <w:spacing w:after="120"/>
        <w:jc w:val="both"/>
      </w:pPr>
    </w:p>
    <w:p w:rsidR="003D7CF8" w:rsidRPr="009222EF" w:rsidRDefault="003D7CF8" w:rsidP="003D7CF8">
      <w:pPr>
        <w:spacing w:after="120"/>
        <w:jc w:val="both"/>
      </w:pPr>
      <w:r w:rsidRPr="009222EF">
        <w:t xml:space="preserve">V  </w:t>
      </w:r>
      <w:r w:rsidRPr="00762137">
        <w:rPr>
          <w:b/>
          <w:color w:val="4F81BD" w:themeColor="accent1"/>
          <w:u w:val="single"/>
        </w:rPr>
        <w:t>Akčnom pláne</w:t>
      </w:r>
      <w:r w:rsidRPr="00762137">
        <w:rPr>
          <w:color w:val="4F81BD" w:themeColor="accent1"/>
          <w:u w:val="single"/>
        </w:rPr>
        <w:t xml:space="preserve"> </w:t>
      </w:r>
      <w:r w:rsidRPr="00762137">
        <w:rPr>
          <w:b/>
          <w:color w:val="4F81BD" w:themeColor="accent1"/>
          <w:u w:val="single"/>
        </w:rPr>
        <w:t>okresu Rimavská Sobota</w:t>
      </w:r>
      <w:r w:rsidRPr="00762137">
        <w:rPr>
          <w:b/>
          <w:color w:val="4F81BD" w:themeColor="accent1"/>
        </w:rPr>
        <w:t>,</w:t>
      </w:r>
      <w:r w:rsidRPr="009222EF">
        <w:rPr>
          <w:b/>
        </w:rPr>
        <w:t xml:space="preserve"> </w:t>
      </w:r>
      <w:r w:rsidRPr="009222EF">
        <w:t>ktorý bol schválený Uznesením vlády SR č.254/2016 z 24.</w:t>
      </w:r>
      <w:r w:rsidR="0011161A">
        <w:t xml:space="preserve"> </w:t>
      </w:r>
      <w:r w:rsidRPr="009222EF">
        <w:t>6.</w:t>
      </w:r>
      <w:r w:rsidR="0011161A">
        <w:t xml:space="preserve"> </w:t>
      </w:r>
      <w:r w:rsidRPr="009222EF">
        <w:t xml:space="preserve">2016 je Prioritný program „Rozvoj ľudských zdrojov a zabezpečenie systematického vzdelávania podľa požiadaviek trhu práce a regionálnej politiky rozvoja okresu“, ktorý je zameraný na modernizáciu a kompletizáciu existujúcej vzdelávacej infraštruktúry s dôrazom na zabezpečenie jej efektívnej schopnosti reagovať na potreby trhu práce a špecifiká disponibilného ľudského kapitálu prostredníctvom: </w:t>
      </w:r>
    </w:p>
    <w:p w:rsidR="003D7CF8" w:rsidRPr="009222EF" w:rsidRDefault="003D7CF8" w:rsidP="003D7CF8">
      <w:pPr>
        <w:pStyle w:val="Odsekzoznamu"/>
        <w:numPr>
          <w:ilvl w:val="0"/>
          <w:numId w:val="8"/>
        </w:numPr>
        <w:spacing w:after="120"/>
        <w:jc w:val="both"/>
      </w:pPr>
      <w:r w:rsidRPr="009222EF">
        <w:t xml:space="preserve">vybudovania centier praktickej výchovy, zamestnaneckého inkubátora a tréningových centier v napojení na stredné školy v okrese vrátane možnosti doplnenia základného vzdelania, </w:t>
      </w:r>
    </w:p>
    <w:p w:rsidR="003D7CF8" w:rsidRPr="009222EF" w:rsidRDefault="003D7CF8" w:rsidP="003D7CF8">
      <w:pPr>
        <w:pStyle w:val="Odsekzoznamu"/>
        <w:numPr>
          <w:ilvl w:val="0"/>
          <w:numId w:val="8"/>
        </w:numPr>
        <w:spacing w:after="120"/>
        <w:jc w:val="both"/>
      </w:pPr>
      <w:r w:rsidRPr="009222EF">
        <w:t xml:space="preserve">podpory dopytovo orientovaného školstva, výskumných a vývojových aktivít, </w:t>
      </w:r>
    </w:p>
    <w:p w:rsidR="003D7CF8" w:rsidRPr="009222EF" w:rsidRDefault="003D7CF8" w:rsidP="003D7CF8">
      <w:pPr>
        <w:pStyle w:val="Odsekzoznamu"/>
        <w:numPr>
          <w:ilvl w:val="0"/>
          <w:numId w:val="8"/>
        </w:numPr>
        <w:spacing w:after="120"/>
        <w:jc w:val="both"/>
      </w:pPr>
      <w:r w:rsidRPr="009222EF">
        <w:t xml:space="preserve">rozvoja služieb zamestnanosti, </w:t>
      </w:r>
    </w:p>
    <w:p w:rsidR="003D7CF8" w:rsidRPr="00BC50CE" w:rsidRDefault="003D7CF8" w:rsidP="003D7CF8">
      <w:pPr>
        <w:pStyle w:val="Odsekzoznamu"/>
        <w:numPr>
          <w:ilvl w:val="0"/>
          <w:numId w:val="8"/>
        </w:numPr>
        <w:spacing w:after="120"/>
        <w:jc w:val="both"/>
      </w:pPr>
      <w:r w:rsidRPr="00BC50CE">
        <w:t xml:space="preserve">podpory budovania integrovaných centier </w:t>
      </w:r>
      <w:proofErr w:type="spellStart"/>
      <w:r w:rsidRPr="00BC50CE">
        <w:t>inkluzívnej</w:t>
      </w:r>
      <w:proofErr w:type="spellEnd"/>
      <w:r w:rsidRPr="00BC50CE">
        <w:t xml:space="preserve"> výchovy. </w:t>
      </w:r>
    </w:p>
    <w:p w:rsidR="003D7CF8" w:rsidRPr="00BC50CE" w:rsidRDefault="003D7CF8" w:rsidP="003D7CF8">
      <w:pPr>
        <w:spacing w:after="120"/>
        <w:jc w:val="both"/>
      </w:pPr>
      <w:r w:rsidRPr="00BC50CE">
        <w:t>Aktivity sú riešené všeobecne bez zamerania na vekovú skupinu 50+.</w:t>
      </w:r>
    </w:p>
    <w:p w:rsidR="003D7CF8" w:rsidRPr="009222EF" w:rsidRDefault="003D7CF8" w:rsidP="003D7CF8">
      <w:pPr>
        <w:spacing w:after="120"/>
        <w:jc w:val="both"/>
      </w:pPr>
      <w:r w:rsidRPr="009222EF">
        <w:t>Pod</w:t>
      </w:r>
      <w:r>
        <w:t xml:space="preserve">pora je založená na </w:t>
      </w:r>
      <w:r w:rsidRPr="00487AA9">
        <w:t>aktivitách Ce</w:t>
      </w:r>
      <w:r w:rsidRPr="009222EF">
        <w:t xml:space="preserve">ntra pre rozvoj </w:t>
      </w:r>
      <w:proofErr w:type="spellStart"/>
      <w:r w:rsidRPr="009222EF">
        <w:t>Gemera</w:t>
      </w:r>
      <w:proofErr w:type="spellEnd"/>
      <w:r w:rsidRPr="009222EF">
        <w:t xml:space="preserve"> a Malohontu – </w:t>
      </w:r>
      <w:proofErr w:type="spellStart"/>
      <w:r w:rsidRPr="009222EF">
        <w:t>CeroGeMa</w:t>
      </w:r>
      <w:proofErr w:type="spellEnd"/>
      <w:r w:rsidRPr="009222EF">
        <w:t xml:space="preserve">, </w:t>
      </w:r>
      <w:r>
        <w:t xml:space="preserve">v </w:t>
      </w:r>
      <w:r w:rsidRPr="009222EF">
        <w:t>budovaní tréningových centier a regionálnych centier vzdelávania a zabezpečenie rekvalifikácii. Plánované je vybudovanie 2 regionálnych centier vzdelávania a zamestnaneckého inkubátora, min. 2 tréningových centier so sídlom v Rimavskej Sobote a v Hnúšti na zabezpečenie kvalifikácie a rekvalifikácie pracovnej sily s nízkym stupňom získaného vzdelania alebo nevyhovujúcim vzdelaním.</w:t>
      </w:r>
    </w:p>
    <w:p w:rsidR="003D7CF8" w:rsidRPr="009222EF" w:rsidRDefault="003D7CF8" w:rsidP="003D7CF8">
      <w:pPr>
        <w:spacing w:after="120"/>
        <w:jc w:val="both"/>
      </w:pPr>
      <w:r w:rsidRPr="000141A0">
        <w:rPr>
          <w:b/>
        </w:rPr>
        <w:t>V okrese je plánované do roku 2020 vytvoriť 2300 nových pracovných miest</w:t>
      </w:r>
      <w:r w:rsidRPr="009222EF">
        <w:t>. Pri vytváraní pracovných miest nie je samostatne riešená veková skupina 50+.</w:t>
      </w:r>
    </w:p>
    <w:p w:rsidR="003D7CF8" w:rsidRPr="009222EF" w:rsidRDefault="003D7CF8" w:rsidP="003D7CF8">
      <w:pPr>
        <w:spacing w:after="120"/>
        <w:jc w:val="both"/>
      </w:pPr>
      <w:r w:rsidRPr="009222EF">
        <w:t xml:space="preserve">Z celkovej odhadovanej finančnej investície v rokoch 2016 – 2020 vo výške cca 157 miliónov EUR sa predpokladá krytie z verejných zdrojov vo výške 133 miliónov EUR a 24 miliónov EUR z vlastných </w:t>
      </w:r>
      <w:r w:rsidRPr="009222EF">
        <w:lastRenderedPageBreak/>
        <w:t>zdrojov, pričom celková výška regionálneho príspevku podľa § 8 záko</w:t>
      </w:r>
      <w:r>
        <w:t>na č. 336/2015 Z. z. bude 6,355 </w:t>
      </w:r>
      <w:r w:rsidRPr="009222EF">
        <w:t xml:space="preserve">milióna EUR, z toho 1,3 milióna EUR v roku 2016, 1,2 milióna EUR </w:t>
      </w:r>
      <w:r>
        <w:t>v roku 2017, 1,21 milióna EUR v </w:t>
      </w:r>
      <w:r w:rsidRPr="009222EF">
        <w:t xml:space="preserve">roku 2018, 1,275 milióna EUR v roku 2019 a 1,37 milióna EUR v roku 2020. </w:t>
      </w:r>
    </w:p>
    <w:p w:rsidR="003D7CF8" w:rsidRPr="009222EF" w:rsidRDefault="003D7CF8" w:rsidP="003D7CF8">
      <w:pPr>
        <w:spacing w:after="120"/>
        <w:jc w:val="both"/>
      </w:pPr>
      <w:r w:rsidRPr="009222EF">
        <w:t xml:space="preserve">Poskytnutie regionálneho príspevku pre okres Rimavská Sobota </w:t>
      </w:r>
      <w:r>
        <w:t>v r. 2016 – 2020 je vo výške 6,</w:t>
      </w:r>
      <w:r w:rsidRPr="009222EF">
        <w:t>355</w:t>
      </w:r>
      <w:r>
        <w:t> </w:t>
      </w:r>
      <w:r w:rsidRPr="009222EF">
        <w:t>mil. EUR.</w:t>
      </w:r>
    </w:p>
    <w:p w:rsidR="003D7CF8" w:rsidRDefault="003D7CF8" w:rsidP="003D7CF8">
      <w:pPr>
        <w:spacing w:after="120"/>
        <w:jc w:val="both"/>
        <w:rPr>
          <w:b/>
          <w:u w:val="single"/>
        </w:rPr>
      </w:pPr>
    </w:p>
    <w:p w:rsidR="003D7CF8" w:rsidRPr="009222EF" w:rsidRDefault="003D7CF8" w:rsidP="003D7CF8">
      <w:pPr>
        <w:spacing w:after="120"/>
        <w:jc w:val="both"/>
      </w:pPr>
      <w:r w:rsidRPr="00E0560C">
        <w:rPr>
          <w:b/>
          <w:color w:val="4F81BD" w:themeColor="accent1"/>
          <w:u w:val="single"/>
        </w:rPr>
        <w:t>Akčný plán rozvoja okresu Veľký Krtíš</w:t>
      </w:r>
      <w:r w:rsidRPr="009222EF">
        <w:rPr>
          <w:b/>
        </w:rPr>
        <w:t xml:space="preserve"> </w:t>
      </w:r>
      <w:r w:rsidRPr="009222EF">
        <w:t xml:space="preserve">bol schválený vládou SR </w:t>
      </w:r>
      <w:r>
        <w:t>uznesením č. 378/2016 zo dňa 7. </w:t>
      </w:r>
      <w:r w:rsidRPr="009222EF">
        <w:t>septembra 2016.</w:t>
      </w:r>
    </w:p>
    <w:p w:rsidR="003D7CF8" w:rsidRPr="009222EF" w:rsidRDefault="003D7CF8" w:rsidP="003D7CF8">
      <w:pPr>
        <w:spacing w:after="120"/>
        <w:jc w:val="both"/>
        <w:rPr>
          <w:b/>
        </w:rPr>
      </w:pPr>
      <w:r w:rsidRPr="009222EF">
        <w:t xml:space="preserve">Hlavným cieľom Akčného plánu je znížiť mieru nezamestnanosti v okrese Veľký Krtíš podporou </w:t>
      </w:r>
      <w:r w:rsidRPr="009222EF">
        <w:rPr>
          <w:b/>
        </w:rPr>
        <w:t>vytvorenia 822 pracovných miest do roku 2020.</w:t>
      </w:r>
    </w:p>
    <w:p w:rsidR="003D7CF8" w:rsidRPr="009222EF" w:rsidRDefault="003D7CF8" w:rsidP="003D7CF8">
      <w:pPr>
        <w:spacing w:after="120"/>
        <w:jc w:val="both"/>
      </w:pPr>
      <w:r w:rsidRPr="009222EF">
        <w:t>Cieľom je podpora vzniku:</w:t>
      </w:r>
    </w:p>
    <w:p w:rsidR="003D7CF8" w:rsidRPr="009222EF" w:rsidRDefault="003D7CF8" w:rsidP="003D7CF8">
      <w:pPr>
        <w:pStyle w:val="Odsekzoznamu"/>
        <w:numPr>
          <w:ilvl w:val="0"/>
          <w:numId w:val="8"/>
        </w:numPr>
        <w:spacing w:after="120"/>
        <w:jc w:val="both"/>
      </w:pPr>
      <w:r w:rsidRPr="009222EF">
        <w:t>minimálne 4 podnikateľských subjektov v poľnohospodárskej prvovýrobe vrátane pestovania ovocia a zeleniny,</w:t>
      </w:r>
    </w:p>
    <w:p w:rsidR="003D7CF8" w:rsidRPr="009222EF" w:rsidRDefault="003D7CF8" w:rsidP="003D7CF8">
      <w:pPr>
        <w:pStyle w:val="Odsekzoznamu"/>
        <w:numPr>
          <w:ilvl w:val="0"/>
          <w:numId w:val="8"/>
        </w:numPr>
        <w:spacing w:after="120"/>
        <w:jc w:val="both"/>
      </w:pPr>
      <w:r w:rsidRPr="009222EF">
        <w:t>minimálne 4 podnikateľských subjektov vo vinohradníctve a vinárstve,</w:t>
      </w:r>
    </w:p>
    <w:p w:rsidR="003D7CF8" w:rsidRPr="009222EF" w:rsidRDefault="003D7CF8" w:rsidP="003D7CF8">
      <w:pPr>
        <w:pStyle w:val="Odsekzoznamu"/>
        <w:numPr>
          <w:ilvl w:val="0"/>
          <w:numId w:val="8"/>
        </w:numPr>
        <w:spacing w:after="120"/>
        <w:jc w:val="both"/>
      </w:pPr>
      <w:r w:rsidRPr="009222EF">
        <w:t>minimálne 3 subjektov v spracovaní poľnohospodárskych produktov,</w:t>
      </w:r>
    </w:p>
    <w:p w:rsidR="003D7CF8" w:rsidRDefault="003D7CF8" w:rsidP="003D7CF8">
      <w:pPr>
        <w:pStyle w:val="Odsekzoznamu"/>
        <w:numPr>
          <w:ilvl w:val="0"/>
          <w:numId w:val="8"/>
        </w:numPr>
        <w:spacing w:after="120"/>
        <w:jc w:val="both"/>
      </w:pPr>
      <w:r w:rsidRPr="009222EF">
        <w:t>minimálne 2 podnikateľských subjektov v oblasti lesného hospodárstva a sp</w:t>
      </w:r>
      <w:r>
        <w:t>racovania biomasy,</w:t>
      </w:r>
    </w:p>
    <w:p w:rsidR="003D7CF8" w:rsidRPr="00BC50CE" w:rsidRDefault="003D7CF8" w:rsidP="003D7CF8">
      <w:pPr>
        <w:pStyle w:val="Odsekzoznamu"/>
        <w:numPr>
          <w:ilvl w:val="0"/>
          <w:numId w:val="8"/>
        </w:numPr>
        <w:spacing w:after="120"/>
        <w:jc w:val="both"/>
      </w:pPr>
      <w:r w:rsidRPr="00BC50CE">
        <w:t>minimálne 2 subjektov v oblasti agroturistiky a vidieckeho turizmu.</w:t>
      </w:r>
    </w:p>
    <w:p w:rsidR="003D7CF8" w:rsidRPr="009222EF" w:rsidRDefault="003D7CF8" w:rsidP="003D7CF8">
      <w:pPr>
        <w:spacing w:after="120"/>
        <w:jc w:val="both"/>
      </w:pPr>
      <w:r w:rsidRPr="009222EF">
        <w:t>Z celkovej odhadovanej finančnej investície cca. 75 mil. EUR v rokoch 2016 – 2020 sa predpokladá krytie z verejných zdrojov vo výške 48,5 mil. EUR a zo súkromných zdrojov vo výške 26,5 mil. EUR. Celková investícia do okresu Veľký Krtíš bude podporená sumou 3 330 tis. EUR formou regionálneho príspevku, a to 500 tis. EUR v roku 2016, 700 tis. EUR v roku 2017, 750 tis. EUR v roku 2018, 730</w:t>
      </w:r>
      <w:r>
        <w:t> </w:t>
      </w:r>
      <w:r w:rsidRPr="009222EF">
        <w:t>tis.</w:t>
      </w:r>
      <w:r>
        <w:t> </w:t>
      </w:r>
      <w:r w:rsidRPr="009222EF">
        <w:t>EUR v roku 2019 a 650 tis. EUR v roku 2020.</w:t>
      </w:r>
    </w:p>
    <w:p w:rsidR="003D7CF8" w:rsidRPr="009222EF" w:rsidRDefault="003D7CF8" w:rsidP="003D7CF8">
      <w:pPr>
        <w:spacing w:after="120"/>
        <w:jc w:val="both"/>
      </w:pPr>
      <w:r w:rsidRPr="009222EF">
        <w:t>Poskytnutie regionálneho príspevku pre okres Veľký Krtíš v r. 2016 – 2020 je vo výške 3,33 mil. EUR.</w:t>
      </w:r>
    </w:p>
    <w:tbl>
      <w:tblPr>
        <w:tblW w:w="7454" w:type="dxa"/>
        <w:tblInd w:w="70" w:type="dxa"/>
        <w:tblCellMar>
          <w:left w:w="70" w:type="dxa"/>
          <w:right w:w="70" w:type="dxa"/>
        </w:tblCellMar>
        <w:tblLook w:val="04A0" w:firstRow="1" w:lastRow="0" w:firstColumn="1" w:lastColumn="0" w:noHBand="0" w:noVBand="1"/>
      </w:tblPr>
      <w:tblGrid>
        <w:gridCol w:w="2354"/>
        <w:gridCol w:w="1048"/>
        <w:gridCol w:w="993"/>
        <w:gridCol w:w="992"/>
        <w:gridCol w:w="1276"/>
        <w:gridCol w:w="791"/>
      </w:tblGrid>
      <w:tr w:rsidR="003D7CF8" w:rsidRPr="009222EF" w:rsidTr="005E2ED2">
        <w:trPr>
          <w:trHeight w:val="330"/>
        </w:trPr>
        <w:tc>
          <w:tcPr>
            <w:tcW w:w="7454" w:type="dxa"/>
            <w:gridSpan w:val="6"/>
            <w:tcBorders>
              <w:top w:val="nil"/>
              <w:left w:val="nil"/>
              <w:bottom w:val="single" w:sz="8" w:space="0" w:color="auto"/>
              <w:right w:val="nil"/>
            </w:tcBorders>
            <w:shd w:val="clear" w:color="auto" w:fill="auto"/>
            <w:noWrap/>
            <w:vAlign w:val="bottom"/>
            <w:hideMark/>
          </w:tcPr>
          <w:p w:rsidR="003D7CF8" w:rsidRPr="00040FDE" w:rsidRDefault="003D7CF8" w:rsidP="005E2ED2">
            <w:pPr>
              <w:spacing w:after="0" w:line="240" w:lineRule="auto"/>
              <w:jc w:val="center"/>
              <w:rPr>
                <w:rFonts w:ascii="Calibri" w:eastAsia="Times New Roman" w:hAnsi="Calibri" w:cs="Times New Roman"/>
                <w:b/>
                <w:bCs/>
                <w:color w:val="000000"/>
                <w:sz w:val="24"/>
                <w:szCs w:val="24"/>
                <w:lang w:eastAsia="sk-SK"/>
              </w:rPr>
            </w:pPr>
            <w:r w:rsidRPr="00040FDE">
              <w:rPr>
                <w:rFonts w:ascii="Calibri" w:eastAsia="Times New Roman" w:hAnsi="Calibri" w:cs="Times New Roman"/>
                <w:b/>
                <w:bCs/>
                <w:color w:val="000000"/>
                <w:sz w:val="24"/>
                <w:szCs w:val="24"/>
                <w:lang w:eastAsia="sk-SK"/>
              </w:rPr>
              <w:t>Prehľad o poskytovaní regionálneho príspevok v tis. EUR</w:t>
            </w:r>
          </w:p>
        </w:tc>
      </w:tr>
      <w:tr w:rsidR="003D7CF8" w:rsidRPr="009222EF" w:rsidTr="00EB316D">
        <w:trPr>
          <w:trHeight w:val="315"/>
        </w:trPr>
        <w:tc>
          <w:tcPr>
            <w:tcW w:w="2354" w:type="dxa"/>
            <w:tcBorders>
              <w:top w:val="nil"/>
              <w:left w:val="single" w:sz="8" w:space="0" w:color="auto"/>
              <w:bottom w:val="single" w:sz="8" w:space="0" w:color="auto"/>
              <w:right w:val="single" w:sz="8" w:space="0" w:color="auto"/>
            </w:tcBorders>
            <w:shd w:val="clear" w:color="auto" w:fill="auto"/>
            <w:noWrap/>
            <w:vAlign w:val="bottom"/>
            <w:hideMark/>
          </w:tcPr>
          <w:p w:rsidR="003D7CF8" w:rsidRPr="009222EF" w:rsidRDefault="003D7CF8" w:rsidP="005E2ED2">
            <w:pPr>
              <w:spacing w:after="0" w:line="240" w:lineRule="auto"/>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okres</w:t>
            </w:r>
          </w:p>
        </w:tc>
        <w:tc>
          <w:tcPr>
            <w:tcW w:w="1048" w:type="dxa"/>
            <w:tcBorders>
              <w:top w:val="nil"/>
              <w:left w:val="nil"/>
              <w:bottom w:val="single" w:sz="8"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2016</w:t>
            </w:r>
          </w:p>
        </w:tc>
        <w:tc>
          <w:tcPr>
            <w:tcW w:w="993" w:type="dxa"/>
            <w:tcBorders>
              <w:top w:val="nil"/>
              <w:left w:val="nil"/>
              <w:bottom w:val="single" w:sz="8"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2017</w:t>
            </w:r>
          </w:p>
        </w:tc>
        <w:tc>
          <w:tcPr>
            <w:tcW w:w="992" w:type="dxa"/>
            <w:tcBorders>
              <w:top w:val="nil"/>
              <w:left w:val="nil"/>
              <w:bottom w:val="single" w:sz="8"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2018</w:t>
            </w:r>
          </w:p>
        </w:tc>
        <w:tc>
          <w:tcPr>
            <w:tcW w:w="1276" w:type="dxa"/>
            <w:tcBorders>
              <w:top w:val="nil"/>
              <w:left w:val="nil"/>
              <w:bottom w:val="single" w:sz="8" w:space="0" w:color="auto"/>
              <w:right w:val="nil"/>
            </w:tcBorders>
            <w:shd w:val="clear" w:color="auto" w:fill="auto"/>
            <w:noWrap/>
            <w:vAlign w:val="bottom"/>
            <w:hideMark/>
          </w:tcPr>
          <w:p w:rsidR="003D7CF8" w:rsidRPr="009222EF" w:rsidRDefault="003D7CF8" w:rsidP="00DA3E3A">
            <w:pPr>
              <w:spacing w:after="0" w:line="240" w:lineRule="auto"/>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2019</w:t>
            </w:r>
            <w:r w:rsidR="00DA3E3A">
              <w:rPr>
                <w:rFonts w:ascii="Calibri" w:eastAsia="Times New Roman" w:hAnsi="Calibri" w:cs="Times New Roman"/>
                <w:b/>
                <w:bCs/>
                <w:color w:val="000000"/>
                <w:lang w:eastAsia="sk-SK"/>
              </w:rPr>
              <w:t xml:space="preserve"> </w:t>
            </w:r>
            <w:r w:rsidR="00DA3E3A" w:rsidRPr="009222EF">
              <w:t>–</w:t>
            </w:r>
            <w:r w:rsidR="00DA3E3A">
              <w:t xml:space="preserve"> </w:t>
            </w:r>
            <w:r w:rsidRPr="009222EF">
              <w:rPr>
                <w:rFonts w:ascii="Calibri" w:eastAsia="Times New Roman" w:hAnsi="Calibri" w:cs="Times New Roman"/>
                <w:b/>
                <w:bCs/>
                <w:color w:val="000000"/>
                <w:lang w:eastAsia="sk-SK"/>
              </w:rPr>
              <w:t>2020</w:t>
            </w:r>
          </w:p>
        </w:tc>
        <w:tc>
          <w:tcPr>
            <w:tcW w:w="791" w:type="dxa"/>
            <w:tcBorders>
              <w:top w:val="nil"/>
              <w:left w:val="single" w:sz="8" w:space="0" w:color="auto"/>
              <w:bottom w:val="single" w:sz="8" w:space="0" w:color="auto"/>
              <w:right w:val="single" w:sz="8" w:space="0" w:color="auto"/>
            </w:tcBorders>
            <w:shd w:val="clear" w:color="auto" w:fill="auto"/>
            <w:noWrap/>
            <w:vAlign w:val="bottom"/>
            <w:hideMark/>
          </w:tcPr>
          <w:p w:rsidR="003D7CF8" w:rsidRPr="009222EF" w:rsidRDefault="003D7CF8" w:rsidP="005E2ED2">
            <w:pPr>
              <w:spacing w:after="0" w:line="240" w:lineRule="auto"/>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spolu</w:t>
            </w:r>
          </w:p>
        </w:tc>
      </w:tr>
      <w:tr w:rsidR="003D7CF8" w:rsidRPr="009222EF" w:rsidTr="00EB316D">
        <w:trPr>
          <w:trHeight w:val="300"/>
        </w:trPr>
        <w:tc>
          <w:tcPr>
            <w:tcW w:w="235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D7CF8" w:rsidRPr="009222EF" w:rsidRDefault="003D7CF8" w:rsidP="005E2ED2">
            <w:pPr>
              <w:spacing w:after="0" w:line="240" w:lineRule="auto"/>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Lučenec</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900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860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860</w:t>
            </w:r>
          </w:p>
        </w:tc>
        <w:tc>
          <w:tcPr>
            <w:tcW w:w="1276" w:type="dxa"/>
            <w:tcBorders>
              <w:top w:val="single" w:sz="4" w:space="0" w:color="auto"/>
              <w:left w:val="nil"/>
              <w:bottom w:val="single" w:sz="4" w:space="0" w:color="auto"/>
              <w:right w:val="nil"/>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1 675</w:t>
            </w:r>
          </w:p>
        </w:tc>
        <w:tc>
          <w:tcPr>
            <w:tcW w:w="791" w:type="dxa"/>
            <w:tcBorders>
              <w:top w:val="nil"/>
              <w:left w:val="single" w:sz="8" w:space="0" w:color="auto"/>
              <w:bottom w:val="single" w:sz="4" w:space="0" w:color="auto"/>
              <w:right w:val="single" w:sz="8"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4 295</w:t>
            </w:r>
          </w:p>
        </w:tc>
      </w:tr>
      <w:tr w:rsidR="003D7CF8" w:rsidRPr="009222EF" w:rsidTr="00EB316D">
        <w:trPr>
          <w:trHeight w:val="300"/>
        </w:trPr>
        <w:tc>
          <w:tcPr>
            <w:tcW w:w="2354" w:type="dxa"/>
            <w:tcBorders>
              <w:top w:val="nil"/>
              <w:left w:val="single" w:sz="8" w:space="0" w:color="auto"/>
              <w:bottom w:val="single" w:sz="4" w:space="0" w:color="auto"/>
              <w:right w:val="single" w:sz="8" w:space="0" w:color="auto"/>
            </w:tcBorders>
            <w:shd w:val="clear" w:color="auto" w:fill="auto"/>
            <w:noWrap/>
            <w:vAlign w:val="bottom"/>
            <w:hideMark/>
          </w:tcPr>
          <w:p w:rsidR="003D7CF8" w:rsidRPr="009222EF" w:rsidRDefault="003D7CF8" w:rsidP="005E2ED2">
            <w:pPr>
              <w:spacing w:after="0" w:line="240" w:lineRule="auto"/>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Poltár</w:t>
            </w:r>
          </w:p>
        </w:tc>
        <w:tc>
          <w:tcPr>
            <w:tcW w:w="1048" w:type="dxa"/>
            <w:tcBorders>
              <w:top w:val="nil"/>
              <w:left w:val="nil"/>
              <w:bottom w:val="single" w:sz="4"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400</w:t>
            </w:r>
          </w:p>
        </w:tc>
        <w:tc>
          <w:tcPr>
            <w:tcW w:w="993" w:type="dxa"/>
            <w:tcBorders>
              <w:top w:val="nil"/>
              <w:left w:val="nil"/>
              <w:bottom w:val="single" w:sz="4"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550</w:t>
            </w:r>
          </w:p>
        </w:tc>
        <w:tc>
          <w:tcPr>
            <w:tcW w:w="992" w:type="dxa"/>
            <w:tcBorders>
              <w:top w:val="nil"/>
              <w:left w:val="nil"/>
              <w:bottom w:val="single" w:sz="4"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550</w:t>
            </w:r>
          </w:p>
        </w:tc>
        <w:tc>
          <w:tcPr>
            <w:tcW w:w="1276" w:type="dxa"/>
            <w:tcBorders>
              <w:top w:val="nil"/>
              <w:left w:val="nil"/>
              <w:bottom w:val="single" w:sz="4" w:space="0" w:color="auto"/>
              <w:right w:val="nil"/>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1 125</w:t>
            </w:r>
          </w:p>
        </w:tc>
        <w:tc>
          <w:tcPr>
            <w:tcW w:w="791" w:type="dxa"/>
            <w:tcBorders>
              <w:top w:val="nil"/>
              <w:left w:val="single" w:sz="8" w:space="0" w:color="auto"/>
              <w:bottom w:val="single" w:sz="4" w:space="0" w:color="auto"/>
              <w:right w:val="single" w:sz="8"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2 625</w:t>
            </w:r>
          </w:p>
        </w:tc>
      </w:tr>
      <w:tr w:rsidR="003D7CF8" w:rsidRPr="009222EF" w:rsidTr="00EB316D">
        <w:trPr>
          <w:trHeight w:val="300"/>
        </w:trPr>
        <w:tc>
          <w:tcPr>
            <w:tcW w:w="2354" w:type="dxa"/>
            <w:tcBorders>
              <w:top w:val="nil"/>
              <w:left w:val="single" w:sz="8" w:space="0" w:color="auto"/>
              <w:bottom w:val="single" w:sz="4" w:space="0" w:color="auto"/>
              <w:right w:val="single" w:sz="8" w:space="0" w:color="auto"/>
            </w:tcBorders>
            <w:shd w:val="clear" w:color="auto" w:fill="auto"/>
            <w:noWrap/>
            <w:vAlign w:val="bottom"/>
            <w:hideMark/>
          </w:tcPr>
          <w:p w:rsidR="003D7CF8" w:rsidRPr="009222EF" w:rsidRDefault="003D7CF8" w:rsidP="005E2ED2">
            <w:pPr>
              <w:spacing w:after="0" w:line="240" w:lineRule="auto"/>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Revúca</w:t>
            </w:r>
          </w:p>
        </w:tc>
        <w:tc>
          <w:tcPr>
            <w:tcW w:w="1048" w:type="dxa"/>
            <w:tcBorders>
              <w:top w:val="nil"/>
              <w:left w:val="nil"/>
              <w:bottom w:val="single" w:sz="4"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500</w:t>
            </w:r>
          </w:p>
        </w:tc>
        <w:tc>
          <w:tcPr>
            <w:tcW w:w="993" w:type="dxa"/>
            <w:tcBorders>
              <w:top w:val="nil"/>
              <w:left w:val="nil"/>
              <w:bottom w:val="single" w:sz="4"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760</w:t>
            </w:r>
          </w:p>
        </w:tc>
        <w:tc>
          <w:tcPr>
            <w:tcW w:w="992" w:type="dxa"/>
            <w:tcBorders>
              <w:top w:val="nil"/>
              <w:left w:val="nil"/>
              <w:bottom w:val="single" w:sz="4"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850</w:t>
            </w:r>
          </w:p>
        </w:tc>
        <w:tc>
          <w:tcPr>
            <w:tcW w:w="1276" w:type="dxa"/>
            <w:tcBorders>
              <w:top w:val="nil"/>
              <w:left w:val="nil"/>
              <w:bottom w:val="single" w:sz="4" w:space="0" w:color="auto"/>
              <w:right w:val="nil"/>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1 725</w:t>
            </w:r>
          </w:p>
        </w:tc>
        <w:tc>
          <w:tcPr>
            <w:tcW w:w="791" w:type="dxa"/>
            <w:tcBorders>
              <w:top w:val="nil"/>
              <w:left w:val="single" w:sz="8" w:space="0" w:color="auto"/>
              <w:bottom w:val="single" w:sz="4" w:space="0" w:color="auto"/>
              <w:right w:val="single" w:sz="8"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color w:val="000000"/>
                <w:lang w:eastAsia="sk-SK"/>
              </w:rPr>
            </w:pPr>
            <w:r w:rsidRPr="009222EF">
              <w:rPr>
                <w:rFonts w:ascii="Calibri" w:eastAsia="Times New Roman" w:hAnsi="Calibri" w:cs="Times New Roman"/>
                <w:color w:val="000000"/>
                <w:lang w:eastAsia="sk-SK"/>
              </w:rPr>
              <w:t>3 835</w:t>
            </w:r>
          </w:p>
        </w:tc>
      </w:tr>
      <w:tr w:rsidR="003D7CF8" w:rsidRPr="009222EF" w:rsidTr="00590C69">
        <w:trPr>
          <w:trHeight w:val="300"/>
        </w:trPr>
        <w:tc>
          <w:tcPr>
            <w:tcW w:w="2354"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3D7CF8" w:rsidRPr="00B210FE" w:rsidRDefault="003D7CF8" w:rsidP="005E2ED2">
            <w:pPr>
              <w:spacing w:after="0" w:line="240" w:lineRule="auto"/>
              <w:rPr>
                <w:rFonts w:ascii="Calibri" w:eastAsia="Times New Roman" w:hAnsi="Calibri" w:cs="Times New Roman"/>
                <w:b/>
                <w:bCs/>
                <w:color w:val="000000"/>
                <w:lang w:eastAsia="sk-SK"/>
              </w:rPr>
            </w:pPr>
            <w:r w:rsidRPr="00B210FE">
              <w:rPr>
                <w:rFonts w:ascii="Calibri" w:eastAsia="Times New Roman" w:hAnsi="Calibri" w:cs="Times New Roman"/>
                <w:b/>
                <w:bCs/>
                <w:color w:val="000000"/>
                <w:lang w:eastAsia="sk-SK"/>
              </w:rPr>
              <w:t>Rimavská Sobota</w:t>
            </w:r>
          </w:p>
        </w:tc>
        <w:tc>
          <w:tcPr>
            <w:tcW w:w="1048" w:type="dxa"/>
            <w:tcBorders>
              <w:top w:val="nil"/>
              <w:left w:val="nil"/>
              <w:bottom w:val="single" w:sz="4" w:space="0" w:color="auto"/>
              <w:right w:val="single" w:sz="4" w:space="0" w:color="auto"/>
            </w:tcBorders>
            <w:shd w:val="clear" w:color="auto" w:fill="D9D9D9" w:themeFill="background1" w:themeFillShade="D9"/>
            <w:noWrap/>
            <w:vAlign w:val="bottom"/>
            <w:hideMark/>
          </w:tcPr>
          <w:p w:rsidR="003D7CF8" w:rsidRPr="00590C69" w:rsidRDefault="003D7CF8" w:rsidP="005E2ED2">
            <w:pPr>
              <w:spacing w:after="0" w:line="240" w:lineRule="auto"/>
              <w:jc w:val="right"/>
              <w:rPr>
                <w:rFonts w:ascii="Calibri" w:eastAsia="Times New Roman" w:hAnsi="Calibri" w:cs="Times New Roman"/>
                <w:color w:val="000000"/>
                <w:lang w:eastAsia="sk-SK"/>
              </w:rPr>
            </w:pPr>
            <w:r w:rsidRPr="00590C69">
              <w:rPr>
                <w:rFonts w:ascii="Calibri" w:eastAsia="Times New Roman" w:hAnsi="Calibri" w:cs="Times New Roman"/>
                <w:color w:val="000000"/>
                <w:lang w:eastAsia="sk-SK"/>
              </w:rPr>
              <w:t>1 300</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hideMark/>
          </w:tcPr>
          <w:p w:rsidR="003D7CF8" w:rsidRPr="00590C69" w:rsidRDefault="003D7CF8" w:rsidP="005E2ED2">
            <w:pPr>
              <w:spacing w:after="0" w:line="240" w:lineRule="auto"/>
              <w:jc w:val="right"/>
              <w:rPr>
                <w:rFonts w:ascii="Calibri" w:eastAsia="Times New Roman" w:hAnsi="Calibri" w:cs="Times New Roman"/>
                <w:color w:val="000000"/>
                <w:lang w:eastAsia="sk-SK"/>
              </w:rPr>
            </w:pPr>
            <w:r w:rsidRPr="00590C69">
              <w:rPr>
                <w:rFonts w:ascii="Calibri" w:eastAsia="Times New Roman" w:hAnsi="Calibri" w:cs="Times New Roman"/>
                <w:color w:val="000000"/>
                <w:lang w:eastAsia="sk-SK"/>
              </w:rPr>
              <w:t>1 200</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3D7CF8" w:rsidRPr="00590C69" w:rsidRDefault="003D7CF8" w:rsidP="005E2ED2">
            <w:pPr>
              <w:spacing w:after="0" w:line="240" w:lineRule="auto"/>
              <w:jc w:val="right"/>
              <w:rPr>
                <w:rFonts w:ascii="Calibri" w:eastAsia="Times New Roman" w:hAnsi="Calibri" w:cs="Times New Roman"/>
                <w:color w:val="000000"/>
                <w:lang w:eastAsia="sk-SK"/>
              </w:rPr>
            </w:pPr>
            <w:r w:rsidRPr="00590C69">
              <w:rPr>
                <w:rFonts w:ascii="Calibri" w:eastAsia="Times New Roman" w:hAnsi="Calibri" w:cs="Times New Roman"/>
                <w:color w:val="000000"/>
                <w:lang w:eastAsia="sk-SK"/>
              </w:rPr>
              <w:t>1 210</w:t>
            </w:r>
          </w:p>
        </w:tc>
        <w:tc>
          <w:tcPr>
            <w:tcW w:w="1276" w:type="dxa"/>
            <w:tcBorders>
              <w:top w:val="nil"/>
              <w:left w:val="nil"/>
              <w:bottom w:val="single" w:sz="4" w:space="0" w:color="auto"/>
              <w:right w:val="nil"/>
            </w:tcBorders>
            <w:shd w:val="clear" w:color="auto" w:fill="D9D9D9" w:themeFill="background1" w:themeFillShade="D9"/>
            <w:noWrap/>
            <w:vAlign w:val="bottom"/>
            <w:hideMark/>
          </w:tcPr>
          <w:p w:rsidR="003D7CF8" w:rsidRPr="00590C69" w:rsidRDefault="003D7CF8" w:rsidP="005E2ED2">
            <w:pPr>
              <w:spacing w:after="0" w:line="240" w:lineRule="auto"/>
              <w:jc w:val="right"/>
              <w:rPr>
                <w:rFonts w:ascii="Calibri" w:eastAsia="Times New Roman" w:hAnsi="Calibri" w:cs="Times New Roman"/>
                <w:color w:val="000000"/>
                <w:lang w:eastAsia="sk-SK"/>
              </w:rPr>
            </w:pPr>
            <w:r w:rsidRPr="00590C69">
              <w:rPr>
                <w:rFonts w:ascii="Calibri" w:eastAsia="Times New Roman" w:hAnsi="Calibri" w:cs="Times New Roman"/>
                <w:color w:val="000000"/>
                <w:lang w:eastAsia="sk-SK"/>
              </w:rPr>
              <w:t>2 645</w:t>
            </w:r>
          </w:p>
        </w:tc>
        <w:tc>
          <w:tcPr>
            <w:tcW w:w="791"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3D7CF8" w:rsidRPr="00590C69" w:rsidRDefault="003D7CF8" w:rsidP="005E2ED2">
            <w:pPr>
              <w:spacing w:after="0" w:line="240" w:lineRule="auto"/>
              <w:jc w:val="right"/>
              <w:rPr>
                <w:rFonts w:ascii="Calibri" w:eastAsia="Times New Roman" w:hAnsi="Calibri" w:cs="Times New Roman"/>
                <w:color w:val="000000"/>
                <w:lang w:eastAsia="sk-SK"/>
              </w:rPr>
            </w:pPr>
            <w:r w:rsidRPr="00590C69">
              <w:rPr>
                <w:rFonts w:ascii="Calibri" w:eastAsia="Times New Roman" w:hAnsi="Calibri" w:cs="Times New Roman"/>
                <w:color w:val="000000"/>
                <w:lang w:eastAsia="sk-SK"/>
              </w:rPr>
              <w:t>6 355</w:t>
            </w:r>
          </w:p>
        </w:tc>
      </w:tr>
      <w:tr w:rsidR="003D7CF8" w:rsidRPr="009222EF" w:rsidTr="00590C69">
        <w:trPr>
          <w:trHeight w:val="315"/>
        </w:trPr>
        <w:tc>
          <w:tcPr>
            <w:tcW w:w="2354"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3D7CF8" w:rsidRPr="00B210FE" w:rsidRDefault="003D7CF8" w:rsidP="005E2ED2">
            <w:pPr>
              <w:spacing w:after="0" w:line="240" w:lineRule="auto"/>
              <w:rPr>
                <w:rFonts w:ascii="Calibri" w:eastAsia="Times New Roman" w:hAnsi="Calibri" w:cs="Times New Roman"/>
                <w:b/>
                <w:bCs/>
                <w:color w:val="000000"/>
                <w:lang w:eastAsia="sk-SK"/>
              </w:rPr>
            </w:pPr>
            <w:r w:rsidRPr="00B210FE">
              <w:rPr>
                <w:rFonts w:ascii="Calibri" w:eastAsia="Times New Roman" w:hAnsi="Calibri" w:cs="Times New Roman"/>
                <w:b/>
                <w:bCs/>
                <w:color w:val="000000"/>
                <w:lang w:eastAsia="sk-SK"/>
              </w:rPr>
              <w:t>Veľký Krtíš</w:t>
            </w:r>
          </w:p>
        </w:tc>
        <w:tc>
          <w:tcPr>
            <w:tcW w:w="1048" w:type="dxa"/>
            <w:tcBorders>
              <w:top w:val="nil"/>
              <w:left w:val="nil"/>
              <w:bottom w:val="single" w:sz="4" w:space="0" w:color="auto"/>
              <w:right w:val="single" w:sz="4" w:space="0" w:color="auto"/>
            </w:tcBorders>
            <w:shd w:val="clear" w:color="auto" w:fill="D9D9D9" w:themeFill="background1" w:themeFillShade="D9"/>
            <w:noWrap/>
            <w:vAlign w:val="bottom"/>
            <w:hideMark/>
          </w:tcPr>
          <w:p w:rsidR="003D7CF8" w:rsidRPr="00590C69" w:rsidRDefault="003D7CF8" w:rsidP="005E2ED2">
            <w:pPr>
              <w:spacing w:after="0" w:line="240" w:lineRule="auto"/>
              <w:jc w:val="right"/>
              <w:rPr>
                <w:rFonts w:ascii="Calibri" w:eastAsia="Times New Roman" w:hAnsi="Calibri" w:cs="Times New Roman"/>
                <w:color w:val="000000"/>
                <w:lang w:eastAsia="sk-SK"/>
              </w:rPr>
            </w:pPr>
            <w:r w:rsidRPr="00590C69">
              <w:rPr>
                <w:rFonts w:ascii="Calibri" w:eastAsia="Times New Roman" w:hAnsi="Calibri" w:cs="Times New Roman"/>
                <w:color w:val="000000"/>
                <w:lang w:eastAsia="sk-SK"/>
              </w:rPr>
              <w:t>500</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hideMark/>
          </w:tcPr>
          <w:p w:rsidR="003D7CF8" w:rsidRPr="00590C69" w:rsidRDefault="003D7CF8" w:rsidP="005E2ED2">
            <w:pPr>
              <w:spacing w:after="0" w:line="240" w:lineRule="auto"/>
              <w:jc w:val="right"/>
              <w:rPr>
                <w:rFonts w:ascii="Calibri" w:eastAsia="Times New Roman" w:hAnsi="Calibri" w:cs="Times New Roman"/>
                <w:color w:val="000000"/>
                <w:lang w:eastAsia="sk-SK"/>
              </w:rPr>
            </w:pPr>
            <w:r w:rsidRPr="00590C69">
              <w:rPr>
                <w:rFonts w:ascii="Calibri" w:eastAsia="Times New Roman" w:hAnsi="Calibri" w:cs="Times New Roman"/>
                <w:color w:val="000000"/>
                <w:lang w:eastAsia="sk-SK"/>
              </w:rPr>
              <w:t>700</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3D7CF8" w:rsidRPr="00590C69" w:rsidRDefault="003D7CF8" w:rsidP="005E2ED2">
            <w:pPr>
              <w:spacing w:after="0" w:line="240" w:lineRule="auto"/>
              <w:jc w:val="right"/>
              <w:rPr>
                <w:rFonts w:ascii="Calibri" w:eastAsia="Times New Roman" w:hAnsi="Calibri" w:cs="Times New Roman"/>
                <w:color w:val="000000"/>
                <w:lang w:eastAsia="sk-SK"/>
              </w:rPr>
            </w:pPr>
            <w:r w:rsidRPr="00590C69">
              <w:rPr>
                <w:rFonts w:ascii="Calibri" w:eastAsia="Times New Roman" w:hAnsi="Calibri" w:cs="Times New Roman"/>
                <w:color w:val="000000"/>
                <w:lang w:eastAsia="sk-SK"/>
              </w:rPr>
              <w:t>750</w:t>
            </w:r>
          </w:p>
        </w:tc>
        <w:tc>
          <w:tcPr>
            <w:tcW w:w="1276" w:type="dxa"/>
            <w:tcBorders>
              <w:top w:val="nil"/>
              <w:left w:val="nil"/>
              <w:bottom w:val="single" w:sz="4" w:space="0" w:color="auto"/>
              <w:right w:val="nil"/>
            </w:tcBorders>
            <w:shd w:val="clear" w:color="auto" w:fill="D9D9D9" w:themeFill="background1" w:themeFillShade="D9"/>
            <w:noWrap/>
            <w:vAlign w:val="bottom"/>
            <w:hideMark/>
          </w:tcPr>
          <w:p w:rsidR="003D7CF8" w:rsidRPr="00590C69" w:rsidRDefault="003D7CF8" w:rsidP="005E2ED2">
            <w:pPr>
              <w:spacing w:after="0" w:line="240" w:lineRule="auto"/>
              <w:jc w:val="right"/>
              <w:rPr>
                <w:rFonts w:ascii="Calibri" w:eastAsia="Times New Roman" w:hAnsi="Calibri" w:cs="Times New Roman"/>
                <w:color w:val="000000"/>
                <w:lang w:eastAsia="sk-SK"/>
              </w:rPr>
            </w:pPr>
            <w:r w:rsidRPr="00590C69">
              <w:rPr>
                <w:rFonts w:ascii="Calibri" w:eastAsia="Times New Roman" w:hAnsi="Calibri" w:cs="Times New Roman"/>
                <w:color w:val="000000"/>
                <w:lang w:eastAsia="sk-SK"/>
              </w:rPr>
              <w:t>1 380</w:t>
            </w:r>
          </w:p>
        </w:tc>
        <w:tc>
          <w:tcPr>
            <w:tcW w:w="791"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D7CF8" w:rsidRPr="00590C69" w:rsidRDefault="003D7CF8" w:rsidP="005E2ED2">
            <w:pPr>
              <w:spacing w:after="0" w:line="240" w:lineRule="auto"/>
              <w:jc w:val="right"/>
              <w:rPr>
                <w:rFonts w:ascii="Calibri" w:eastAsia="Times New Roman" w:hAnsi="Calibri" w:cs="Times New Roman"/>
                <w:color w:val="000000"/>
                <w:lang w:eastAsia="sk-SK"/>
              </w:rPr>
            </w:pPr>
            <w:r w:rsidRPr="00590C69">
              <w:rPr>
                <w:rFonts w:ascii="Calibri" w:eastAsia="Times New Roman" w:hAnsi="Calibri" w:cs="Times New Roman"/>
                <w:color w:val="000000"/>
                <w:lang w:eastAsia="sk-SK"/>
              </w:rPr>
              <w:t>3 330</w:t>
            </w:r>
          </w:p>
        </w:tc>
      </w:tr>
      <w:tr w:rsidR="003D7CF8" w:rsidRPr="00946FDF" w:rsidTr="00EB316D">
        <w:trPr>
          <w:trHeight w:val="315"/>
        </w:trPr>
        <w:tc>
          <w:tcPr>
            <w:tcW w:w="23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7CF8" w:rsidRPr="009222EF" w:rsidRDefault="003D7CF8" w:rsidP="005E2ED2">
            <w:pPr>
              <w:spacing w:after="0" w:line="240" w:lineRule="auto"/>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Spolu</w:t>
            </w:r>
          </w:p>
        </w:tc>
        <w:tc>
          <w:tcPr>
            <w:tcW w:w="1048" w:type="dxa"/>
            <w:tcBorders>
              <w:top w:val="single" w:sz="8" w:space="0" w:color="auto"/>
              <w:left w:val="nil"/>
              <w:bottom w:val="single" w:sz="8"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3 600</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4 070</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4 220</w:t>
            </w:r>
          </w:p>
        </w:tc>
        <w:tc>
          <w:tcPr>
            <w:tcW w:w="1276" w:type="dxa"/>
            <w:tcBorders>
              <w:top w:val="single" w:sz="8" w:space="0" w:color="auto"/>
              <w:left w:val="nil"/>
              <w:bottom w:val="single" w:sz="8" w:space="0" w:color="auto"/>
              <w:right w:val="nil"/>
            </w:tcBorders>
            <w:shd w:val="clear" w:color="auto" w:fill="auto"/>
            <w:noWrap/>
            <w:vAlign w:val="bottom"/>
            <w:hideMark/>
          </w:tcPr>
          <w:p w:rsidR="003D7CF8" w:rsidRPr="009222EF" w:rsidRDefault="003D7CF8" w:rsidP="005E2ED2">
            <w:pPr>
              <w:spacing w:after="0" w:line="240" w:lineRule="auto"/>
              <w:jc w:val="right"/>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8 550</w:t>
            </w:r>
          </w:p>
        </w:tc>
        <w:tc>
          <w:tcPr>
            <w:tcW w:w="791" w:type="dxa"/>
            <w:tcBorders>
              <w:top w:val="nil"/>
              <w:left w:val="single" w:sz="8" w:space="0" w:color="auto"/>
              <w:bottom w:val="single" w:sz="8" w:space="0" w:color="auto"/>
              <w:right w:val="single" w:sz="8" w:space="0" w:color="auto"/>
            </w:tcBorders>
            <w:shd w:val="clear" w:color="auto" w:fill="auto"/>
            <w:noWrap/>
            <w:vAlign w:val="bottom"/>
            <w:hideMark/>
          </w:tcPr>
          <w:p w:rsidR="003D7CF8" w:rsidRPr="00946FDF" w:rsidRDefault="003D7CF8" w:rsidP="005E2ED2">
            <w:pPr>
              <w:spacing w:after="0" w:line="240" w:lineRule="auto"/>
              <w:jc w:val="right"/>
              <w:rPr>
                <w:rFonts w:ascii="Calibri" w:eastAsia="Times New Roman" w:hAnsi="Calibri" w:cs="Times New Roman"/>
                <w:b/>
                <w:bCs/>
                <w:color w:val="000000"/>
                <w:lang w:eastAsia="sk-SK"/>
              </w:rPr>
            </w:pPr>
            <w:r w:rsidRPr="009222EF">
              <w:rPr>
                <w:rFonts w:ascii="Calibri" w:eastAsia="Times New Roman" w:hAnsi="Calibri" w:cs="Times New Roman"/>
                <w:b/>
                <w:bCs/>
                <w:color w:val="000000"/>
                <w:lang w:eastAsia="sk-SK"/>
              </w:rPr>
              <w:t>20 440</w:t>
            </w:r>
          </w:p>
        </w:tc>
      </w:tr>
    </w:tbl>
    <w:p w:rsidR="003D7CF8" w:rsidRDefault="003D7CF8" w:rsidP="003D7CF8">
      <w:pPr>
        <w:jc w:val="both"/>
      </w:pPr>
    </w:p>
    <w:p w:rsidR="003D7CF8" w:rsidRDefault="003D7CF8" w:rsidP="003D7CF8">
      <w:pPr>
        <w:jc w:val="both"/>
      </w:pPr>
      <w:r w:rsidRPr="00792014">
        <w:rPr>
          <w:noProof/>
          <w:lang w:eastAsia="sk-SK"/>
        </w:rPr>
        <w:lastRenderedPageBreak/>
        <w:drawing>
          <wp:inline distT="0" distB="0" distL="0" distR="0">
            <wp:extent cx="5718697" cy="2179529"/>
            <wp:effectExtent l="19050" t="0" r="15353" b="0"/>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D7CF8" w:rsidRDefault="003D7CF8" w:rsidP="003D7CF8">
      <w:pPr>
        <w:spacing w:after="120"/>
        <w:jc w:val="both"/>
      </w:pPr>
    </w:p>
    <w:p w:rsidR="003D7CF8" w:rsidRDefault="003D7CF8" w:rsidP="003D7CF8">
      <w:pPr>
        <w:spacing w:after="120"/>
        <w:jc w:val="both"/>
      </w:pPr>
      <w:r>
        <w:t>V Akčnom pláne pre najmenej rozvinuté okresy sú plánované v jednotlivých rokoch a</w:t>
      </w:r>
      <w:r w:rsidR="00DA3E3A">
        <w:t>j</w:t>
      </w:r>
      <w:r>
        <w:t xml:space="preserve"> investičné akcie, ktorých financovanie je prevažne uvažované z fondov Európskej únie. Realizácia investičných zámerov je závislá od vypracovania a splnenia podmienok financovania zo zdrojov EŠIF. </w:t>
      </w:r>
    </w:p>
    <w:p w:rsidR="003D7CF8" w:rsidRDefault="003D7CF8" w:rsidP="003D7CF8">
      <w:pPr>
        <w:spacing w:after="120"/>
        <w:jc w:val="both"/>
      </w:pPr>
      <w:r>
        <w:t xml:space="preserve">V nasledujúcom prehľade sú  predpokladané investície riešené v akčných plánoch jednotlivých okresov a prehľad o plánovanom vytváraní nových pracovných miest: </w:t>
      </w:r>
    </w:p>
    <w:tbl>
      <w:tblPr>
        <w:tblW w:w="7949" w:type="dxa"/>
        <w:tblInd w:w="60" w:type="dxa"/>
        <w:tblCellMar>
          <w:left w:w="70" w:type="dxa"/>
          <w:right w:w="170" w:type="dxa"/>
        </w:tblCellMar>
        <w:tblLook w:val="04A0" w:firstRow="1" w:lastRow="0" w:firstColumn="1" w:lastColumn="0" w:noHBand="0" w:noVBand="1"/>
      </w:tblPr>
      <w:tblGrid>
        <w:gridCol w:w="2137"/>
        <w:gridCol w:w="2693"/>
        <w:gridCol w:w="3119"/>
      </w:tblGrid>
      <w:tr w:rsidR="003D7CF8" w:rsidRPr="00792014" w:rsidTr="005E2ED2">
        <w:trPr>
          <w:trHeight w:val="433"/>
        </w:trPr>
        <w:tc>
          <w:tcPr>
            <w:tcW w:w="21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7CF8" w:rsidRPr="00792014" w:rsidRDefault="003D7CF8" w:rsidP="005E2ED2">
            <w:pPr>
              <w:spacing w:after="0" w:line="240" w:lineRule="auto"/>
              <w:rPr>
                <w:rFonts w:ascii="Calibri" w:eastAsia="Times New Roman" w:hAnsi="Calibri" w:cs="Times New Roman"/>
                <w:b/>
                <w:bCs/>
                <w:color w:val="000000"/>
                <w:lang w:eastAsia="sk-SK"/>
              </w:rPr>
            </w:pPr>
            <w:r w:rsidRPr="00792014">
              <w:rPr>
                <w:rFonts w:ascii="Calibri" w:eastAsia="Times New Roman" w:hAnsi="Calibri" w:cs="Times New Roman"/>
                <w:b/>
                <w:bCs/>
                <w:color w:val="000000"/>
                <w:lang w:eastAsia="sk-SK"/>
              </w:rPr>
              <w:t>okres</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3D7CF8" w:rsidRPr="00792014" w:rsidRDefault="003D7CF8" w:rsidP="005E2ED2">
            <w:pPr>
              <w:spacing w:after="0" w:line="240" w:lineRule="auto"/>
              <w:jc w:val="center"/>
              <w:rPr>
                <w:rFonts w:ascii="Calibri" w:eastAsia="Times New Roman" w:hAnsi="Calibri" w:cs="Times New Roman"/>
                <w:b/>
                <w:bCs/>
                <w:color w:val="000000"/>
                <w:lang w:eastAsia="sk-SK"/>
              </w:rPr>
            </w:pPr>
            <w:r w:rsidRPr="00792014">
              <w:rPr>
                <w:rFonts w:ascii="Calibri" w:eastAsia="Times New Roman" w:hAnsi="Calibri" w:cs="Times New Roman"/>
                <w:b/>
                <w:bCs/>
                <w:color w:val="000000"/>
                <w:lang w:eastAsia="sk-SK"/>
              </w:rPr>
              <w:t xml:space="preserve">odhad investície v mil. </w:t>
            </w:r>
            <w:r>
              <w:rPr>
                <w:rFonts w:ascii="Calibri" w:eastAsia="Times New Roman" w:hAnsi="Calibri" w:cs="Times New Roman"/>
                <w:b/>
                <w:bCs/>
                <w:color w:val="000000"/>
                <w:lang w:eastAsia="sk-SK"/>
              </w:rPr>
              <w:t>EUR</w:t>
            </w:r>
            <w:r w:rsidRPr="00792014">
              <w:rPr>
                <w:rFonts w:ascii="Calibri" w:eastAsia="Times New Roman" w:hAnsi="Calibri" w:cs="Times New Roman"/>
                <w:b/>
                <w:bCs/>
                <w:color w:val="000000"/>
                <w:lang w:eastAsia="sk-SK"/>
              </w:rPr>
              <w:t xml:space="preserve"> v rokoch 2016-2020</w:t>
            </w:r>
          </w:p>
        </w:tc>
        <w:tc>
          <w:tcPr>
            <w:tcW w:w="3119" w:type="dxa"/>
            <w:tcBorders>
              <w:top w:val="single" w:sz="8" w:space="0" w:color="auto"/>
              <w:left w:val="nil"/>
              <w:bottom w:val="single" w:sz="8" w:space="0" w:color="auto"/>
              <w:right w:val="single" w:sz="8" w:space="0" w:color="auto"/>
            </w:tcBorders>
            <w:shd w:val="clear" w:color="auto" w:fill="auto"/>
            <w:vAlign w:val="bottom"/>
            <w:hideMark/>
          </w:tcPr>
          <w:p w:rsidR="003D7CF8" w:rsidRPr="00792014" w:rsidRDefault="003D7CF8" w:rsidP="005E2ED2">
            <w:pPr>
              <w:spacing w:after="0" w:line="240" w:lineRule="auto"/>
              <w:jc w:val="center"/>
              <w:rPr>
                <w:rFonts w:ascii="Calibri" w:eastAsia="Times New Roman" w:hAnsi="Calibri" w:cs="Times New Roman"/>
                <w:b/>
                <w:bCs/>
                <w:color w:val="000000"/>
                <w:lang w:eastAsia="sk-SK"/>
              </w:rPr>
            </w:pPr>
            <w:r w:rsidRPr="00792014">
              <w:rPr>
                <w:rFonts w:ascii="Calibri" w:eastAsia="Times New Roman" w:hAnsi="Calibri" w:cs="Times New Roman"/>
                <w:b/>
                <w:bCs/>
                <w:color w:val="000000"/>
                <w:lang w:eastAsia="sk-SK"/>
              </w:rPr>
              <w:t>plánované vytvorenie pracovných miest do roku 2020</w:t>
            </w:r>
          </w:p>
        </w:tc>
      </w:tr>
      <w:tr w:rsidR="003D7CF8" w:rsidRPr="00792014" w:rsidTr="005E2ED2">
        <w:trPr>
          <w:trHeight w:val="300"/>
        </w:trPr>
        <w:tc>
          <w:tcPr>
            <w:tcW w:w="213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D7CF8" w:rsidRPr="00792014" w:rsidRDefault="003D7CF8" w:rsidP="005E2ED2">
            <w:pPr>
              <w:spacing w:after="0" w:line="240" w:lineRule="auto"/>
              <w:rPr>
                <w:rFonts w:ascii="Calibri" w:eastAsia="Times New Roman" w:hAnsi="Calibri" w:cs="Times New Roman"/>
                <w:b/>
                <w:bCs/>
                <w:color w:val="000000"/>
                <w:lang w:eastAsia="sk-SK"/>
              </w:rPr>
            </w:pPr>
            <w:r w:rsidRPr="00792014">
              <w:rPr>
                <w:rFonts w:ascii="Calibri" w:eastAsia="Times New Roman" w:hAnsi="Calibri" w:cs="Times New Roman"/>
                <w:b/>
                <w:bCs/>
                <w:color w:val="000000"/>
                <w:lang w:eastAsia="sk-SK"/>
              </w:rPr>
              <w:t>Lučenec</w:t>
            </w:r>
          </w:p>
        </w:tc>
        <w:tc>
          <w:tcPr>
            <w:tcW w:w="2693" w:type="dxa"/>
            <w:tcBorders>
              <w:top w:val="single" w:sz="4" w:space="0" w:color="auto"/>
              <w:left w:val="nil"/>
              <w:bottom w:val="nil"/>
              <w:right w:val="single" w:sz="4" w:space="0" w:color="auto"/>
            </w:tcBorders>
            <w:shd w:val="clear" w:color="auto" w:fill="auto"/>
            <w:noWrap/>
            <w:vAlign w:val="bottom"/>
            <w:hideMark/>
          </w:tcPr>
          <w:p w:rsidR="003D7CF8" w:rsidRPr="00792014" w:rsidRDefault="003D7CF8" w:rsidP="005E2ED2">
            <w:pPr>
              <w:spacing w:after="0" w:line="240" w:lineRule="auto"/>
              <w:jc w:val="right"/>
              <w:rPr>
                <w:rFonts w:ascii="Calibri" w:eastAsia="Times New Roman" w:hAnsi="Calibri" w:cs="Times New Roman"/>
                <w:color w:val="000000"/>
                <w:lang w:eastAsia="sk-SK"/>
              </w:rPr>
            </w:pPr>
            <w:r w:rsidRPr="00792014">
              <w:rPr>
                <w:rFonts w:ascii="Calibri" w:eastAsia="Times New Roman" w:hAnsi="Calibri" w:cs="Times New Roman"/>
                <w:color w:val="000000"/>
                <w:lang w:eastAsia="sk-SK"/>
              </w:rPr>
              <w:t>147</w:t>
            </w:r>
          </w:p>
        </w:tc>
        <w:tc>
          <w:tcPr>
            <w:tcW w:w="3119" w:type="dxa"/>
            <w:tcBorders>
              <w:top w:val="single" w:sz="4" w:space="0" w:color="auto"/>
              <w:left w:val="nil"/>
              <w:bottom w:val="nil"/>
              <w:right w:val="single" w:sz="8" w:space="0" w:color="auto"/>
            </w:tcBorders>
            <w:shd w:val="clear" w:color="auto" w:fill="auto"/>
            <w:noWrap/>
            <w:vAlign w:val="bottom"/>
            <w:hideMark/>
          </w:tcPr>
          <w:p w:rsidR="003D7CF8" w:rsidRPr="00792014" w:rsidRDefault="003D7CF8" w:rsidP="005E2ED2">
            <w:pPr>
              <w:spacing w:after="0" w:line="240" w:lineRule="auto"/>
              <w:jc w:val="right"/>
              <w:rPr>
                <w:rFonts w:ascii="Calibri" w:eastAsia="Times New Roman" w:hAnsi="Calibri" w:cs="Times New Roman"/>
                <w:color w:val="000000"/>
                <w:lang w:eastAsia="sk-SK"/>
              </w:rPr>
            </w:pPr>
            <w:r w:rsidRPr="00792014">
              <w:rPr>
                <w:rFonts w:ascii="Calibri" w:eastAsia="Times New Roman" w:hAnsi="Calibri" w:cs="Times New Roman"/>
                <w:color w:val="000000"/>
                <w:lang w:eastAsia="sk-SK"/>
              </w:rPr>
              <w:t>1 440</w:t>
            </w:r>
          </w:p>
        </w:tc>
      </w:tr>
      <w:tr w:rsidR="003D7CF8" w:rsidRPr="00792014" w:rsidTr="005E2ED2">
        <w:trPr>
          <w:trHeight w:val="300"/>
        </w:trPr>
        <w:tc>
          <w:tcPr>
            <w:tcW w:w="2137" w:type="dxa"/>
            <w:tcBorders>
              <w:top w:val="nil"/>
              <w:left w:val="single" w:sz="8" w:space="0" w:color="auto"/>
              <w:bottom w:val="single" w:sz="4" w:space="0" w:color="auto"/>
              <w:right w:val="single" w:sz="8" w:space="0" w:color="auto"/>
            </w:tcBorders>
            <w:shd w:val="clear" w:color="auto" w:fill="auto"/>
            <w:noWrap/>
            <w:vAlign w:val="bottom"/>
            <w:hideMark/>
          </w:tcPr>
          <w:p w:rsidR="003D7CF8" w:rsidRPr="00792014" w:rsidRDefault="003D7CF8" w:rsidP="005E2ED2">
            <w:pPr>
              <w:spacing w:after="0" w:line="240" w:lineRule="auto"/>
              <w:rPr>
                <w:rFonts w:ascii="Calibri" w:eastAsia="Times New Roman" w:hAnsi="Calibri" w:cs="Times New Roman"/>
                <w:b/>
                <w:bCs/>
                <w:color w:val="000000"/>
                <w:lang w:eastAsia="sk-SK"/>
              </w:rPr>
            </w:pPr>
            <w:r w:rsidRPr="00792014">
              <w:rPr>
                <w:rFonts w:ascii="Calibri" w:eastAsia="Times New Roman" w:hAnsi="Calibri" w:cs="Times New Roman"/>
                <w:b/>
                <w:bCs/>
                <w:color w:val="000000"/>
                <w:lang w:eastAsia="sk-SK"/>
              </w:rPr>
              <w:t>Poltár</w:t>
            </w:r>
          </w:p>
        </w:tc>
        <w:tc>
          <w:tcPr>
            <w:tcW w:w="2693" w:type="dxa"/>
            <w:tcBorders>
              <w:top w:val="single" w:sz="4" w:space="0" w:color="auto"/>
              <w:left w:val="nil"/>
              <w:bottom w:val="nil"/>
              <w:right w:val="single" w:sz="4" w:space="0" w:color="auto"/>
            </w:tcBorders>
            <w:shd w:val="clear" w:color="auto" w:fill="auto"/>
            <w:noWrap/>
            <w:vAlign w:val="bottom"/>
            <w:hideMark/>
          </w:tcPr>
          <w:p w:rsidR="003D7CF8" w:rsidRPr="00792014" w:rsidRDefault="003D7CF8" w:rsidP="005E2ED2">
            <w:pPr>
              <w:spacing w:after="0" w:line="240" w:lineRule="auto"/>
              <w:jc w:val="right"/>
              <w:rPr>
                <w:rFonts w:ascii="Calibri" w:eastAsia="Times New Roman" w:hAnsi="Calibri" w:cs="Times New Roman"/>
                <w:color w:val="000000"/>
                <w:lang w:eastAsia="sk-SK"/>
              </w:rPr>
            </w:pPr>
            <w:r w:rsidRPr="00792014">
              <w:rPr>
                <w:rFonts w:ascii="Calibri" w:eastAsia="Times New Roman" w:hAnsi="Calibri" w:cs="Times New Roman"/>
                <w:color w:val="000000"/>
                <w:lang w:eastAsia="sk-SK"/>
              </w:rPr>
              <w:t>98</w:t>
            </w:r>
          </w:p>
        </w:tc>
        <w:tc>
          <w:tcPr>
            <w:tcW w:w="3119" w:type="dxa"/>
            <w:tcBorders>
              <w:top w:val="single" w:sz="4" w:space="0" w:color="auto"/>
              <w:left w:val="nil"/>
              <w:bottom w:val="nil"/>
              <w:right w:val="single" w:sz="8" w:space="0" w:color="auto"/>
            </w:tcBorders>
            <w:shd w:val="clear" w:color="auto" w:fill="auto"/>
            <w:noWrap/>
            <w:vAlign w:val="bottom"/>
            <w:hideMark/>
          </w:tcPr>
          <w:p w:rsidR="003D7CF8" w:rsidRPr="00792014" w:rsidRDefault="003D7CF8" w:rsidP="005E2ED2">
            <w:pPr>
              <w:spacing w:after="0" w:line="240" w:lineRule="auto"/>
              <w:jc w:val="right"/>
              <w:rPr>
                <w:rFonts w:ascii="Calibri" w:eastAsia="Times New Roman" w:hAnsi="Calibri" w:cs="Times New Roman"/>
                <w:color w:val="000000"/>
                <w:lang w:eastAsia="sk-SK"/>
              </w:rPr>
            </w:pPr>
            <w:r w:rsidRPr="00792014">
              <w:rPr>
                <w:rFonts w:ascii="Calibri" w:eastAsia="Times New Roman" w:hAnsi="Calibri" w:cs="Times New Roman"/>
                <w:color w:val="000000"/>
                <w:lang w:eastAsia="sk-SK"/>
              </w:rPr>
              <w:t>750</w:t>
            </w:r>
          </w:p>
        </w:tc>
      </w:tr>
      <w:tr w:rsidR="003D7CF8" w:rsidRPr="00792014" w:rsidTr="005E2ED2">
        <w:trPr>
          <w:trHeight w:val="300"/>
        </w:trPr>
        <w:tc>
          <w:tcPr>
            <w:tcW w:w="2137" w:type="dxa"/>
            <w:tcBorders>
              <w:top w:val="nil"/>
              <w:left w:val="single" w:sz="8" w:space="0" w:color="auto"/>
              <w:bottom w:val="single" w:sz="4" w:space="0" w:color="auto"/>
              <w:right w:val="single" w:sz="8" w:space="0" w:color="auto"/>
            </w:tcBorders>
            <w:shd w:val="clear" w:color="auto" w:fill="auto"/>
            <w:noWrap/>
            <w:vAlign w:val="bottom"/>
            <w:hideMark/>
          </w:tcPr>
          <w:p w:rsidR="003D7CF8" w:rsidRPr="00792014" w:rsidRDefault="003D7CF8" w:rsidP="005E2ED2">
            <w:pPr>
              <w:spacing w:after="0" w:line="240" w:lineRule="auto"/>
              <w:rPr>
                <w:rFonts w:ascii="Calibri" w:eastAsia="Times New Roman" w:hAnsi="Calibri" w:cs="Times New Roman"/>
                <w:b/>
                <w:bCs/>
                <w:color w:val="000000"/>
                <w:lang w:eastAsia="sk-SK"/>
              </w:rPr>
            </w:pPr>
            <w:r w:rsidRPr="00792014">
              <w:rPr>
                <w:rFonts w:ascii="Calibri" w:eastAsia="Times New Roman" w:hAnsi="Calibri" w:cs="Times New Roman"/>
                <w:b/>
                <w:bCs/>
                <w:color w:val="000000"/>
                <w:lang w:eastAsia="sk-SK"/>
              </w:rPr>
              <w:t>Revúca</w:t>
            </w:r>
          </w:p>
        </w:tc>
        <w:tc>
          <w:tcPr>
            <w:tcW w:w="2693" w:type="dxa"/>
            <w:tcBorders>
              <w:top w:val="single" w:sz="4" w:space="0" w:color="auto"/>
              <w:left w:val="nil"/>
              <w:bottom w:val="nil"/>
              <w:right w:val="single" w:sz="4" w:space="0" w:color="auto"/>
            </w:tcBorders>
            <w:shd w:val="clear" w:color="auto" w:fill="auto"/>
            <w:noWrap/>
            <w:vAlign w:val="bottom"/>
            <w:hideMark/>
          </w:tcPr>
          <w:p w:rsidR="003D7CF8" w:rsidRPr="00792014" w:rsidRDefault="003D7CF8" w:rsidP="005E2ED2">
            <w:pPr>
              <w:spacing w:after="0" w:line="240" w:lineRule="auto"/>
              <w:jc w:val="right"/>
              <w:rPr>
                <w:rFonts w:ascii="Calibri" w:eastAsia="Times New Roman" w:hAnsi="Calibri" w:cs="Times New Roman"/>
                <w:color w:val="000000"/>
                <w:lang w:eastAsia="sk-SK"/>
              </w:rPr>
            </w:pPr>
            <w:r w:rsidRPr="00792014">
              <w:rPr>
                <w:rFonts w:ascii="Calibri" w:eastAsia="Times New Roman" w:hAnsi="Calibri" w:cs="Times New Roman"/>
                <w:color w:val="000000"/>
                <w:lang w:eastAsia="sk-SK"/>
              </w:rPr>
              <w:t>61</w:t>
            </w:r>
          </w:p>
        </w:tc>
        <w:tc>
          <w:tcPr>
            <w:tcW w:w="3119" w:type="dxa"/>
            <w:tcBorders>
              <w:top w:val="single" w:sz="4" w:space="0" w:color="auto"/>
              <w:left w:val="nil"/>
              <w:bottom w:val="nil"/>
              <w:right w:val="single" w:sz="8" w:space="0" w:color="auto"/>
            </w:tcBorders>
            <w:shd w:val="clear" w:color="auto" w:fill="auto"/>
            <w:noWrap/>
            <w:vAlign w:val="bottom"/>
            <w:hideMark/>
          </w:tcPr>
          <w:p w:rsidR="003D7CF8" w:rsidRPr="00792014" w:rsidRDefault="003D7CF8" w:rsidP="005E2ED2">
            <w:pPr>
              <w:spacing w:after="0" w:line="240" w:lineRule="auto"/>
              <w:jc w:val="right"/>
              <w:rPr>
                <w:rFonts w:ascii="Calibri" w:eastAsia="Times New Roman" w:hAnsi="Calibri" w:cs="Times New Roman"/>
                <w:color w:val="000000"/>
                <w:lang w:eastAsia="sk-SK"/>
              </w:rPr>
            </w:pPr>
            <w:r w:rsidRPr="00792014">
              <w:rPr>
                <w:rFonts w:ascii="Calibri" w:eastAsia="Times New Roman" w:hAnsi="Calibri" w:cs="Times New Roman"/>
                <w:color w:val="000000"/>
                <w:lang w:eastAsia="sk-SK"/>
              </w:rPr>
              <w:t>1 100</w:t>
            </w:r>
          </w:p>
        </w:tc>
      </w:tr>
      <w:tr w:rsidR="003D7CF8" w:rsidRPr="00792014" w:rsidTr="00590C69">
        <w:trPr>
          <w:trHeight w:val="300"/>
        </w:trPr>
        <w:tc>
          <w:tcPr>
            <w:tcW w:w="2137"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3D7CF8" w:rsidRPr="00792014" w:rsidRDefault="003D7CF8" w:rsidP="005E2ED2">
            <w:pPr>
              <w:spacing w:after="0" w:line="240" w:lineRule="auto"/>
              <w:rPr>
                <w:rFonts w:ascii="Calibri" w:eastAsia="Times New Roman" w:hAnsi="Calibri" w:cs="Times New Roman"/>
                <w:b/>
                <w:bCs/>
                <w:color w:val="000000"/>
                <w:lang w:eastAsia="sk-SK"/>
              </w:rPr>
            </w:pPr>
            <w:r w:rsidRPr="00792014">
              <w:rPr>
                <w:rFonts w:ascii="Calibri" w:eastAsia="Times New Roman" w:hAnsi="Calibri" w:cs="Times New Roman"/>
                <w:b/>
                <w:bCs/>
                <w:color w:val="000000"/>
                <w:lang w:eastAsia="sk-SK"/>
              </w:rPr>
              <w:t>Rimavská Sobota</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D7CF8" w:rsidRPr="00792014" w:rsidRDefault="003D7CF8" w:rsidP="005E2ED2">
            <w:pPr>
              <w:spacing w:after="0" w:line="240" w:lineRule="auto"/>
              <w:jc w:val="right"/>
              <w:rPr>
                <w:rFonts w:ascii="Calibri" w:eastAsia="Times New Roman" w:hAnsi="Calibri" w:cs="Times New Roman"/>
                <w:color w:val="000000"/>
                <w:lang w:eastAsia="sk-SK"/>
              </w:rPr>
            </w:pPr>
            <w:r w:rsidRPr="00792014">
              <w:rPr>
                <w:rFonts w:ascii="Calibri" w:eastAsia="Times New Roman" w:hAnsi="Calibri" w:cs="Times New Roman"/>
                <w:color w:val="000000"/>
                <w:lang w:eastAsia="sk-SK"/>
              </w:rPr>
              <w:t>157</w:t>
            </w:r>
          </w:p>
        </w:tc>
        <w:tc>
          <w:tcPr>
            <w:tcW w:w="3119"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3D7CF8" w:rsidRPr="00792014" w:rsidRDefault="003D7CF8" w:rsidP="005E2ED2">
            <w:pPr>
              <w:spacing w:after="0" w:line="240" w:lineRule="auto"/>
              <w:jc w:val="right"/>
              <w:rPr>
                <w:rFonts w:ascii="Calibri" w:eastAsia="Times New Roman" w:hAnsi="Calibri" w:cs="Times New Roman"/>
                <w:color w:val="000000"/>
                <w:lang w:eastAsia="sk-SK"/>
              </w:rPr>
            </w:pPr>
            <w:r w:rsidRPr="00792014">
              <w:rPr>
                <w:rFonts w:ascii="Calibri" w:eastAsia="Times New Roman" w:hAnsi="Calibri" w:cs="Times New Roman"/>
                <w:color w:val="000000"/>
                <w:lang w:eastAsia="sk-SK"/>
              </w:rPr>
              <w:t>2 300</w:t>
            </w:r>
          </w:p>
        </w:tc>
      </w:tr>
      <w:tr w:rsidR="003D7CF8" w:rsidRPr="00792014" w:rsidTr="00590C69">
        <w:trPr>
          <w:trHeight w:val="315"/>
        </w:trPr>
        <w:tc>
          <w:tcPr>
            <w:tcW w:w="2137"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3D7CF8" w:rsidRPr="00792014" w:rsidRDefault="003D7CF8" w:rsidP="005E2ED2">
            <w:pPr>
              <w:spacing w:after="0" w:line="240" w:lineRule="auto"/>
              <w:rPr>
                <w:rFonts w:ascii="Calibri" w:eastAsia="Times New Roman" w:hAnsi="Calibri" w:cs="Times New Roman"/>
                <w:b/>
                <w:bCs/>
                <w:color w:val="000000"/>
                <w:lang w:eastAsia="sk-SK"/>
              </w:rPr>
            </w:pPr>
            <w:r w:rsidRPr="00792014">
              <w:rPr>
                <w:rFonts w:ascii="Calibri" w:eastAsia="Times New Roman" w:hAnsi="Calibri" w:cs="Times New Roman"/>
                <w:b/>
                <w:bCs/>
                <w:color w:val="000000"/>
                <w:lang w:eastAsia="sk-SK"/>
              </w:rPr>
              <w:t>Veľký Krtíš</w:t>
            </w:r>
          </w:p>
        </w:tc>
        <w:tc>
          <w:tcPr>
            <w:tcW w:w="2693" w:type="dxa"/>
            <w:tcBorders>
              <w:top w:val="nil"/>
              <w:left w:val="nil"/>
              <w:bottom w:val="single" w:sz="4" w:space="0" w:color="auto"/>
              <w:right w:val="single" w:sz="4" w:space="0" w:color="auto"/>
            </w:tcBorders>
            <w:shd w:val="clear" w:color="auto" w:fill="D9D9D9" w:themeFill="background1" w:themeFillShade="D9"/>
            <w:noWrap/>
            <w:vAlign w:val="bottom"/>
            <w:hideMark/>
          </w:tcPr>
          <w:p w:rsidR="003D7CF8" w:rsidRPr="00792014" w:rsidRDefault="003D7CF8" w:rsidP="005E2ED2">
            <w:pPr>
              <w:spacing w:after="0" w:line="240" w:lineRule="auto"/>
              <w:jc w:val="right"/>
              <w:rPr>
                <w:rFonts w:ascii="Calibri" w:eastAsia="Times New Roman" w:hAnsi="Calibri" w:cs="Times New Roman"/>
                <w:color w:val="000000"/>
                <w:lang w:eastAsia="sk-SK"/>
              </w:rPr>
            </w:pPr>
            <w:r w:rsidRPr="00792014">
              <w:rPr>
                <w:rFonts w:ascii="Calibri" w:eastAsia="Times New Roman" w:hAnsi="Calibri" w:cs="Times New Roman"/>
                <w:color w:val="000000"/>
                <w:lang w:eastAsia="sk-SK"/>
              </w:rPr>
              <w:t>75</w:t>
            </w:r>
          </w:p>
        </w:tc>
        <w:tc>
          <w:tcPr>
            <w:tcW w:w="3119" w:type="dxa"/>
            <w:tcBorders>
              <w:top w:val="nil"/>
              <w:left w:val="nil"/>
              <w:bottom w:val="single" w:sz="4" w:space="0" w:color="auto"/>
              <w:right w:val="single" w:sz="8" w:space="0" w:color="auto"/>
            </w:tcBorders>
            <w:shd w:val="clear" w:color="auto" w:fill="D9D9D9" w:themeFill="background1" w:themeFillShade="D9"/>
            <w:noWrap/>
            <w:vAlign w:val="bottom"/>
            <w:hideMark/>
          </w:tcPr>
          <w:p w:rsidR="003D7CF8" w:rsidRPr="00792014" w:rsidRDefault="003D7CF8" w:rsidP="005E2ED2">
            <w:pPr>
              <w:spacing w:after="0" w:line="240" w:lineRule="auto"/>
              <w:jc w:val="right"/>
              <w:rPr>
                <w:rFonts w:ascii="Calibri" w:eastAsia="Times New Roman" w:hAnsi="Calibri" w:cs="Times New Roman"/>
                <w:color w:val="000000"/>
                <w:lang w:eastAsia="sk-SK"/>
              </w:rPr>
            </w:pPr>
            <w:r w:rsidRPr="00792014">
              <w:rPr>
                <w:rFonts w:ascii="Calibri" w:eastAsia="Times New Roman" w:hAnsi="Calibri" w:cs="Times New Roman"/>
                <w:color w:val="000000"/>
                <w:lang w:eastAsia="sk-SK"/>
              </w:rPr>
              <w:t>822</w:t>
            </w:r>
          </w:p>
        </w:tc>
      </w:tr>
      <w:tr w:rsidR="003D7CF8" w:rsidRPr="00792014" w:rsidTr="005E2ED2">
        <w:trPr>
          <w:trHeight w:val="315"/>
        </w:trPr>
        <w:tc>
          <w:tcPr>
            <w:tcW w:w="213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7CF8" w:rsidRPr="00792014" w:rsidRDefault="003D7CF8" w:rsidP="005E2ED2">
            <w:pPr>
              <w:spacing w:after="0" w:line="240" w:lineRule="auto"/>
              <w:rPr>
                <w:rFonts w:ascii="Calibri" w:eastAsia="Times New Roman" w:hAnsi="Calibri" w:cs="Times New Roman"/>
                <w:b/>
                <w:bCs/>
                <w:color w:val="000000"/>
                <w:lang w:eastAsia="sk-SK"/>
              </w:rPr>
            </w:pPr>
            <w:r w:rsidRPr="00792014">
              <w:rPr>
                <w:rFonts w:ascii="Calibri" w:eastAsia="Times New Roman" w:hAnsi="Calibri" w:cs="Times New Roman"/>
                <w:b/>
                <w:bCs/>
                <w:color w:val="000000"/>
                <w:lang w:eastAsia="sk-SK"/>
              </w:rPr>
              <w:t>Spolu</w:t>
            </w:r>
          </w:p>
        </w:tc>
        <w:tc>
          <w:tcPr>
            <w:tcW w:w="2693" w:type="dxa"/>
            <w:tcBorders>
              <w:top w:val="single" w:sz="8" w:space="0" w:color="auto"/>
              <w:left w:val="nil"/>
              <w:bottom w:val="single" w:sz="8" w:space="0" w:color="auto"/>
              <w:right w:val="single" w:sz="4" w:space="0" w:color="auto"/>
            </w:tcBorders>
            <w:shd w:val="clear" w:color="auto" w:fill="auto"/>
            <w:noWrap/>
            <w:vAlign w:val="bottom"/>
            <w:hideMark/>
          </w:tcPr>
          <w:p w:rsidR="003D7CF8" w:rsidRPr="00792014" w:rsidRDefault="003D7CF8" w:rsidP="005E2ED2">
            <w:pPr>
              <w:spacing w:after="0" w:line="240" w:lineRule="auto"/>
              <w:jc w:val="right"/>
              <w:rPr>
                <w:rFonts w:ascii="Calibri" w:eastAsia="Times New Roman" w:hAnsi="Calibri" w:cs="Times New Roman"/>
                <w:b/>
                <w:bCs/>
                <w:color w:val="000000"/>
                <w:lang w:eastAsia="sk-SK"/>
              </w:rPr>
            </w:pPr>
            <w:r w:rsidRPr="00792014">
              <w:rPr>
                <w:rFonts w:ascii="Calibri" w:eastAsia="Times New Roman" w:hAnsi="Calibri" w:cs="Times New Roman"/>
                <w:b/>
                <w:bCs/>
                <w:color w:val="000000"/>
                <w:lang w:eastAsia="sk-SK"/>
              </w:rPr>
              <w:t>538</w:t>
            </w:r>
          </w:p>
        </w:tc>
        <w:tc>
          <w:tcPr>
            <w:tcW w:w="3119" w:type="dxa"/>
            <w:tcBorders>
              <w:top w:val="single" w:sz="8" w:space="0" w:color="auto"/>
              <w:left w:val="nil"/>
              <w:bottom w:val="single" w:sz="8" w:space="0" w:color="auto"/>
              <w:right w:val="single" w:sz="8" w:space="0" w:color="auto"/>
            </w:tcBorders>
            <w:shd w:val="clear" w:color="auto" w:fill="auto"/>
            <w:noWrap/>
            <w:vAlign w:val="bottom"/>
            <w:hideMark/>
          </w:tcPr>
          <w:p w:rsidR="003D7CF8" w:rsidRPr="00792014" w:rsidRDefault="003D7CF8" w:rsidP="005E2ED2">
            <w:pPr>
              <w:spacing w:after="0" w:line="240" w:lineRule="auto"/>
              <w:jc w:val="right"/>
              <w:rPr>
                <w:rFonts w:ascii="Calibri" w:eastAsia="Times New Roman" w:hAnsi="Calibri" w:cs="Times New Roman"/>
                <w:b/>
                <w:bCs/>
                <w:color w:val="000000"/>
                <w:lang w:eastAsia="sk-SK"/>
              </w:rPr>
            </w:pPr>
            <w:r w:rsidRPr="00792014">
              <w:rPr>
                <w:rFonts w:ascii="Calibri" w:eastAsia="Times New Roman" w:hAnsi="Calibri" w:cs="Times New Roman"/>
                <w:b/>
                <w:bCs/>
                <w:color w:val="000000"/>
                <w:lang w:eastAsia="sk-SK"/>
              </w:rPr>
              <w:t>6 412</w:t>
            </w:r>
          </w:p>
        </w:tc>
      </w:tr>
    </w:tbl>
    <w:p w:rsidR="003D7CF8" w:rsidRDefault="003D7CF8" w:rsidP="003D7CF8">
      <w:pPr>
        <w:jc w:val="both"/>
      </w:pPr>
    </w:p>
    <w:p w:rsidR="003D7CF8" w:rsidRDefault="003D7CF8" w:rsidP="003D7CF8">
      <w:pPr>
        <w:jc w:val="both"/>
      </w:pPr>
      <w:r w:rsidRPr="00995167">
        <w:rPr>
          <w:noProof/>
          <w:lang w:eastAsia="sk-SK"/>
        </w:rPr>
        <w:drawing>
          <wp:inline distT="0" distB="0" distL="0" distR="0">
            <wp:extent cx="5586356" cy="1643180"/>
            <wp:effectExtent l="19050" t="0" r="14344" b="0"/>
            <wp:docPr id="1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D7CF8" w:rsidRDefault="003D7CF8" w:rsidP="003D7CF8">
      <w:pPr>
        <w:jc w:val="both"/>
      </w:pPr>
      <w:r w:rsidRPr="00995167">
        <w:rPr>
          <w:noProof/>
          <w:lang w:eastAsia="sk-SK"/>
        </w:rPr>
        <w:lastRenderedPageBreak/>
        <w:drawing>
          <wp:inline distT="0" distB="0" distL="0" distR="0">
            <wp:extent cx="5584451" cy="1661786"/>
            <wp:effectExtent l="19050" t="0" r="16249" b="0"/>
            <wp:docPr id="1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6AD8" w:rsidRPr="00B06AD8" w:rsidRDefault="003D7CF8" w:rsidP="00B06AD8">
      <w:pPr>
        <w:pStyle w:val="Nadpis1"/>
        <w:spacing w:before="0"/>
        <w:jc w:val="both"/>
        <w:rPr>
          <w:rFonts w:asciiTheme="minorHAnsi" w:hAnsiTheme="minorHAnsi"/>
        </w:rPr>
      </w:pPr>
      <w:r w:rsidRPr="00B06AD8">
        <w:rPr>
          <w:rFonts w:asciiTheme="minorHAnsi" w:hAnsiTheme="minorHAnsi"/>
          <w:b w:val="0"/>
          <w:color w:val="auto"/>
          <w:sz w:val="22"/>
          <w:szCs w:val="22"/>
        </w:rPr>
        <w:t>Jednou z hlavných príčin najmenej rozvinutých okresov je nedostatočne rozvinutá technická infraštruktúra územia, nevhodná kvalifikácia pracovnej sily a nedostatočne rozvinutá štruktúra vzdelávacích inštitúcií v kontexte celoživotného vzdelávania, odchod mladej kvalifikovanej sily z okresu, nedostatočne diverzifikovaná miestna ekonomika a nedostatočne využívané miestne zdroje</w:t>
      </w:r>
      <w:r w:rsidRPr="00B06AD8">
        <w:t>.</w:t>
      </w:r>
      <w:bookmarkStart w:id="11" w:name="_Toc536769643"/>
    </w:p>
    <w:p w:rsidR="00AD0BCD" w:rsidRDefault="00AD0BCD" w:rsidP="00824AAF">
      <w:pPr>
        <w:pStyle w:val="Nadpis1"/>
        <w:numPr>
          <w:ilvl w:val="0"/>
          <w:numId w:val="2"/>
        </w:numPr>
        <w:rPr>
          <w:rFonts w:asciiTheme="minorHAnsi" w:hAnsiTheme="minorHAnsi"/>
        </w:rPr>
      </w:pPr>
      <w:r w:rsidRPr="00AD0BCD">
        <w:rPr>
          <w:rFonts w:asciiTheme="minorHAnsi" w:hAnsiTheme="minorHAnsi"/>
        </w:rPr>
        <w:t>ZÁKLADNÉ ZISTENIA</w:t>
      </w:r>
      <w:bookmarkEnd w:id="11"/>
      <w:r w:rsidR="00A7067D">
        <w:rPr>
          <w:rFonts w:asciiTheme="minorHAnsi" w:hAnsiTheme="minorHAnsi"/>
        </w:rPr>
        <w:t xml:space="preserve"> </w:t>
      </w:r>
    </w:p>
    <w:p w:rsidR="005B0C29" w:rsidRDefault="005B0C29" w:rsidP="004F4349">
      <w:pPr>
        <w:jc w:val="both"/>
        <w:rPr>
          <w:color w:val="222222"/>
        </w:rPr>
      </w:pPr>
    </w:p>
    <w:p w:rsidR="000D18BB" w:rsidRPr="00EB316D" w:rsidRDefault="009F6386" w:rsidP="004F4349">
      <w:pPr>
        <w:jc w:val="both"/>
        <w:rPr>
          <w:color w:val="222222"/>
        </w:rPr>
      </w:pPr>
      <w:r w:rsidRPr="00487AA9">
        <w:rPr>
          <w:color w:val="222222"/>
        </w:rPr>
        <w:t>V analyticke</w:t>
      </w:r>
      <w:r w:rsidR="002B6DC7" w:rsidRPr="00487AA9">
        <w:rPr>
          <w:color w:val="222222"/>
        </w:rPr>
        <w:t>j</w:t>
      </w:r>
      <w:r w:rsidRPr="00487AA9">
        <w:rPr>
          <w:color w:val="222222"/>
        </w:rPr>
        <w:t xml:space="preserve"> časti strategických dokumentov na národnej</w:t>
      </w:r>
      <w:r w:rsidR="007C06B8" w:rsidRPr="00487AA9">
        <w:rPr>
          <w:color w:val="222222"/>
        </w:rPr>
        <w:t>, r</w:t>
      </w:r>
      <w:r w:rsidRPr="00487AA9">
        <w:rPr>
          <w:color w:val="222222"/>
        </w:rPr>
        <w:t>egionálnej a miestnej úrovni bolo zistené, že problematik</w:t>
      </w:r>
      <w:r w:rsidR="002B6DC7" w:rsidRPr="00487AA9">
        <w:rPr>
          <w:color w:val="222222"/>
        </w:rPr>
        <w:t>a</w:t>
      </w:r>
      <w:r w:rsidRPr="00487AA9">
        <w:rPr>
          <w:color w:val="222222"/>
        </w:rPr>
        <w:t xml:space="preserve"> nezamestnanosti</w:t>
      </w:r>
      <w:r w:rsidR="002B6DC7" w:rsidRPr="00487AA9">
        <w:rPr>
          <w:color w:val="222222"/>
        </w:rPr>
        <w:t xml:space="preserve"> </w:t>
      </w:r>
      <w:r w:rsidR="007C06B8" w:rsidRPr="00487AA9">
        <w:rPr>
          <w:color w:val="222222"/>
        </w:rPr>
        <w:t xml:space="preserve">osôb starších ako 50 rokov </w:t>
      </w:r>
      <w:r w:rsidR="005B0C29" w:rsidRPr="00457081">
        <w:rPr>
          <w:b/>
          <w:color w:val="222222"/>
        </w:rPr>
        <w:t xml:space="preserve">doposiaľ nikde </w:t>
      </w:r>
      <w:r w:rsidR="002B6DC7" w:rsidRPr="00457081">
        <w:rPr>
          <w:b/>
          <w:color w:val="222222"/>
        </w:rPr>
        <w:t>nie je riešená</w:t>
      </w:r>
      <w:r w:rsidR="002B6DC7" w:rsidRPr="00487AA9">
        <w:rPr>
          <w:color w:val="222222"/>
        </w:rPr>
        <w:t xml:space="preserve"> </w:t>
      </w:r>
      <w:r w:rsidR="002B6DC7" w:rsidRPr="00457081">
        <w:rPr>
          <w:b/>
          <w:color w:val="222222"/>
        </w:rPr>
        <w:t>samostatne</w:t>
      </w:r>
      <w:r w:rsidR="002B6DC7" w:rsidRPr="00487AA9">
        <w:rPr>
          <w:color w:val="222222"/>
        </w:rPr>
        <w:t xml:space="preserve">. Je riešená len okrajovo, vo všeobecnosti, bez konkrétneho zamerania na </w:t>
      </w:r>
      <w:r w:rsidR="00725326" w:rsidRPr="00487AA9">
        <w:rPr>
          <w:color w:val="222222"/>
        </w:rPr>
        <w:t>konkrétne marginalizované</w:t>
      </w:r>
      <w:r w:rsidR="002B6DC7" w:rsidRPr="00487AA9">
        <w:rPr>
          <w:color w:val="222222"/>
        </w:rPr>
        <w:t xml:space="preserve"> skupiny nezamestnaných. </w:t>
      </w:r>
      <w:r w:rsidR="007C06B8" w:rsidRPr="00487AA9">
        <w:rPr>
          <w:color w:val="222222"/>
        </w:rPr>
        <w:t xml:space="preserve">Jedno z možných vysvetlení je to, že v dobe spracovania </w:t>
      </w:r>
      <w:r w:rsidR="00737F0F" w:rsidRPr="00487AA9">
        <w:rPr>
          <w:color w:val="222222"/>
        </w:rPr>
        <w:t xml:space="preserve">analyzovaných </w:t>
      </w:r>
      <w:r w:rsidR="007C06B8" w:rsidRPr="00487AA9">
        <w:rPr>
          <w:color w:val="222222"/>
        </w:rPr>
        <w:t>programov hospodárskeho a sociálneho rozvoja a stratégií CLLD bol</w:t>
      </w:r>
      <w:r w:rsidR="00737F0F" w:rsidRPr="00487AA9">
        <w:rPr>
          <w:color w:val="222222"/>
        </w:rPr>
        <w:t>a celk</w:t>
      </w:r>
      <w:r w:rsidR="007C06B8" w:rsidRPr="00487AA9">
        <w:rPr>
          <w:color w:val="222222"/>
        </w:rPr>
        <w:t>o</w:t>
      </w:r>
      <w:r w:rsidR="00737F0F" w:rsidRPr="00487AA9">
        <w:rPr>
          <w:color w:val="222222"/>
        </w:rPr>
        <w:t>vá</w:t>
      </w:r>
      <w:r w:rsidR="007C06B8" w:rsidRPr="00487AA9">
        <w:rPr>
          <w:color w:val="222222"/>
        </w:rPr>
        <w:t xml:space="preserve"> miera nezamestnanosti</w:t>
      </w:r>
      <w:r w:rsidR="00946E5B">
        <w:rPr>
          <w:color w:val="222222"/>
        </w:rPr>
        <w:t xml:space="preserve"> </w:t>
      </w:r>
      <w:r w:rsidR="00DA3E3A">
        <w:rPr>
          <w:color w:val="222222"/>
        </w:rPr>
        <w:t xml:space="preserve">v </w:t>
      </w:r>
      <w:r w:rsidR="005B0C29">
        <w:rPr>
          <w:color w:val="222222"/>
        </w:rPr>
        <w:t>Banskobystrickom kraji</w:t>
      </w:r>
      <w:r w:rsidR="007C06B8" w:rsidRPr="00487AA9">
        <w:rPr>
          <w:color w:val="222222"/>
        </w:rPr>
        <w:t xml:space="preserve"> oveľa vyššia ako v r. 2018</w:t>
      </w:r>
      <w:r w:rsidR="00737F0F" w:rsidRPr="00487AA9">
        <w:rPr>
          <w:color w:val="222222"/>
        </w:rPr>
        <w:t xml:space="preserve"> (</w:t>
      </w:r>
      <w:r w:rsidR="00401067">
        <w:rPr>
          <w:color w:val="222222"/>
        </w:rPr>
        <w:t xml:space="preserve">t. j. </w:t>
      </w:r>
      <w:r w:rsidR="00737F0F" w:rsidRPr="00487AA9">
        <w:rPr>
          <w:color w:val="222222"/>
        </w:rPr>
        <w:t>v dobe spracovania tohoto dokumentu)</w:t>
      </w:r>
      <w:r w:rsidR="007C06B8" w:rsidRPr="00487AA9">
        <w:rPr>
          <w:color w:val="222222"/>
        </w:rPr>
        <w:t xml:space="preserve"> a</w:t>
      </w:r>
      <w:r w:rsidR="00946E5B">
        <w:rPr>
          <w:color w:val="222222"/>
        </w:rPr>
        <w:t> </w:t>
      </w:r>
      <w:r w:rsidR="005B0C29">
        <w:rPr>
          <w:color w:val="222222"/>
        </w:rPr>
        <w:t> vtedy sa dotýkala</w:t>
      </w:r>
      <w:r w:rsidR="007C06B8" w:rsidRPr="00487AA9">
        <w:rPr>
          <w:color w:val="222222"/>
        </w:rPr>
        <w:t xml:space="preserve"> približne rovnako všetkých vekových skupín</w:t>
      </w:r>
      <w:r w:rsidR="00725326" w:rsidRPr="00487AA9">
        <w:rPr>
          <w:color w:val="222222"/>
        </w:rPr>
        <w:t xml:space="preserve"> vrátane marginalizovaných skupín obyvateľstva.</w:t>
      </w:r>
      <w:r w:rsidR="00401067">
        <w:rPr>
          <w:color w:val="222222"/>
        </w:rPr>
        <w:t xml:space="preserve"> </w:t>
      </w:r>
      <w:r w:rsidR="00725326" w:rsidRPr="00487AA9">
        <w:rPr>
          <w:color w:val="222222"/>
        </w:rPr>
        <w:t>N</w:t>
      </w:r>
      <w:r w:rsidR="00DF19B7" w:rsidRPr="00487AA9">
        <w:rPr>
          <w:color w:val="222222"/>
        </w:rPr>
        <w:t>a základe vykonanej analýzy</w:t>
      </w:r>
      <w:r w:rsidR="007C06B8" w:rsidRPr="00487AA9">
        <w:rPr>
          <w:color w:val="222222"/>
        </w:rPr>
        <w:t xml:space="preserve"> </w:t>
      </w:r>
      <w:r w:rsidR="00725326" w:rsidRPr="00487AA9">
        <w:rPr>
          <w:color w:val="222222"/>
        </w:rPr>
        <w:t xml:space="preserve">to však </w:t>
      </w:r>
      <w:r w:rsidR="007C06B8" w:rsidRPr="00487AA9">
        <w:rPr>
          <w:color w:val="222222"/>
        </w:rPr>
        <w:t>nie</w:t>
      </w:r>
      <w:r w:rsidR="00DA3E3A">
        <w:rPr>
          <w:color w:val="222222"/>
        </w:rPr>
        <w:t xml:space="preserve"> je</w:t>
      </w:r>
      <w:r w:rsidR="007C06B8" w:rsidRPr="00487AA9">
        <w:rPr>
          <w:color w:val="222222"/>
        </w:rPr>
        <w:t xml:space="preserve"> možné exaktne tvrdiť, pretože hodnoty uvádzané v týchto dokumentoch </w:t>
      </w:r>
      <w:r w:rsidR="005B0C29">
        <w:rPr>
          <w:color w:val="222222"/>
        </w:rPr>
        <w:t xml:space="preserve">častokrát </w:t>
      </w:r>
      <w:r w:rsidR="007C06B8" w:rsidRPr="00487AA9">
        <w:rPr>
          <w:color w:val="222222"/>
        </w:rPr>
        <w:t>nie je možné jednoduchým spôsobom porovnať a</w:t>
      </w:r>
      <w:r w:rsidR="00737F0F" w:rsidRPr="00487AA9">
        <w:rPr>
          <w:color w:val="222222"/>
        </w:rPr>
        <w:t> </w:t>
      </w:r>
      <w:r w:rsidR="007C06B8" w:rsidRPr="00487AA9">
        <w:rPr>
          <w:color w:val="222222"/>
        </w:rPr>
        <w:t>vyhodnotiť</w:t>
      </w:r>
      <w:r w:rsidR="00737F0F" w:rsidRPr="00487AA9">
        <w:rPr>
          <w:color w:val="222222"/>
        </w:rPr>
        <w:t xml:space="preserve">. Dôvodom je skutočnosť, že jednotlivé analyzované dokumenty vychádzajú pri analýze vekovej štruktúry </w:t>
      </w:r>
      <w:r w:rsidR="00DF19B7" w:rsidRPr="00487AA9">
        <w:rPr>
          <w:color w:val="222222"/>
        </w:rPr>
        <w:t xml:space="preserve">obyvateľstva </w:t>
      </w:r>
      <w:r w:rsidR="00737F0F" w:rsidRPr="00487AA9">
        <w:rPr>
          <w:color w:val="222222"/>
        </w:rPr>
        <w:t xml:space="preserve">daného územia z rôzneho </w:t>
      </w:r>
      <w:r w:rsidR="00DF19B7" w:rsidRPr="00487AA9">
        <w:rPr>
          <w:color w:val="222222"/>
        </w:rPr>
        <w:t>členenia</w:t>
      </w:r>
      <w:r w:rsidR="00737F0F" w:rsidRPr="00487AA9">
        <w:rPr>
          <w:color w:val="222222"/>
        </w:rPr>
        <w:t xml:space="preserve"> obyvateľstva podľa veku</w:t>
      </w:r>
      <w:r w:rsidR="00DF19B7" w:rsidRPr="00487AA9">
        <w:rPr>
          <w:color w:val="222222"/>
        </w:rPr>
        <w:t xml:space="preserve"> – </w:t>
      </w:r>
      <w:r w:rsidR="005B0C29">
        <w:rPr>
          <w:color w:val="222222"/>
        </w:rPr>
        <w:t xml:space="preserve">pričom </w:t>
      </w:r>
      <w:r w:rsidR="00DF19B7" w:rsidRPr="00487AA9">
        <w:rPr>
          <w:color w:val="222222"/>
        </w:rPr>
        <w:t>členenie na predproduktívny, produktívny a poproduktívny vek</w:t>
      </w:r>
      <w:r w:rsidR="005B0C29">
        <w:rPr>
          <w:color w:val="222222"/>
        </w:rPr>
        <w:t xml:space="preserve"> je v podstate zachované</w:t>
      </w:r>
      <w:r w:rsidR="00737F0F" w:rsidRPr="00487AA9">
        <w:rPr>
          <w:color w:val="222222"/>
        </w:rPr>
        <w:t xml:space="preserve">. </w:t>
      </w:r>
      <w:r w:rsidR="0054525B" w:rsidRPr="00487AA9">
        <w:rPr>
          <w:color w:val="222222"/>
        </w:rPr>
        <w:t xml:space="preserve">V </w:t>
      </w:r>
      <w:r w:rsidR="00737F0F" w:rsidRPr="00487AA9">
        <w:rPr>
          <w:color w:val="222222"/>
        </w:rPr>
        <w:t xml:space="preserve">PHSR BBK </w:t>
      </w:r>
      <w:r w:rsidR="005B0C29">
        <w:rPr>
          <w:color w:val="222222"/>
        </w:rPr>
        <w:t xml:space="preserve">sa </w:t>
      </w:r>
      <w:r w:rsidR="00737F0F" w:rsidRPr="00487AA9">
        <w:rPr>
          <w:color w:val="222222"/>
        </w:rPr>
        <w:t xml:space="preserve">uvádza poproduktívny vek obyvateľov kraja mužov a žien jednotne od 65 </w:t>
      </w:r>
      <w:r w:rsidR="00DF19B7" w:rsidRPr="00487AA9">
        <w:rPr>
          <w:color w:val="222222"/>
        </w:rPr>
        <w:t xml:space="preserve">rokov veku </w:t>
      </w:r>
      <w:r w:rsidR="00737F0F" w:rsidRPr="00487AA9">
        <w:rPr>
          <w:color w:val="222222"/>
        </w:rPr>
        <w:t>a</w:t>
      </w:r>
      <w:r w:rsidR="005B0C29">
        <w:rPr>
          <w:color w:val="222222"/>
        </w:rPr>
        <w:t> </w:t>
      </w:r>
      <w:r w:rsidR="00737F0F" w:rsidRPr="00487AA9">
        <w:rPr>
          <w:color w:val="222222"/>
        </w:rPr>
        <w:t>viac</w:t>
      </w:r>
      <w:r w:rsidR="005B0C29">
        <w:rPr>
          <w:color w:val="222222"/>
        </w:rPr>
        <w:t>, čo je v súlade aj podľa</w:t>
      </w:r>
      <w:r w:rsidR="00737F0F" w:rsidRPr="00487AA9">
        <w:rPr>
          <w:color w:val="222222"/>
        </w:rPr>
        <w:t xml:space="preserve"> v súčasnosti platnej metodiky Štatistického úradu SR</w:t>
      </w:r>
      <w:r w:rsidR="005B0C29">
        <w:rPr>
          <w:color w:val="222222"/>
        </w:rPr>
        <w:t>. Napr.</w:t>
      </w:r>
      <w:r w:rsidR="00737F0F" w:rsidRPr="00487AA9">
        <w:rPr>
          <w:color w:val="222222"/>
        </w:rPr>
        <w:t> Stratégia CLLD MAS Malohont uvádza poproduktívny vek</w:t>
      </w:r>
      <w:r w:rsidR="00DF19B7" w:rsidRPr="00487AA9">
        <w:rPr>
          <w:color w:val="222222"/>
        </w:rPr>
        <w:t xml:space="preserve"> rozdielne u mužov </w:t>
      </w:r>
      <w:r w:rsidR="005B0C29">
        <w:rPr>
          <w:color w:val="222222"/>
        </w:rPr>
        <w:t>a</w:t>
      </w:r>
      <w:r w:rsidR="00DF19B7" w:rsidRPr="00487AA9">
        <w:rPr>
          <w:color w:val="222222"/>
        </w:rPr>
        <w:t xml:space="preserve"> u žien - muži 60+, ženy 55+, pretože analytická časť stratégie CLLD bola spracovávaná skôr ako PHSR, kedy boli dostupné údaje vzhľadom na </w:t>
      </w:r>
      <w:r w:rsidR="005B0C29">
        <w:rPr>
          <w:color w:val="222222"/>
        </w:rPr>
        <w:t xml:space="preserve">vtedajší </w:t>
      </w:r>
      <w:r w:rsidR="00DF19B7" w:rsidRPr="00487AA9">
        <w:rPr>
          <w:color w:val="222222"/>
        </w:rPr>
        <w:t xml:space="preserve">skorší a rozdielny  odchod do dôchodku u mužov a žien. </w:t>
      </w:r>
      <w:r w:rsidR="00725326" w:rsidRPr="00487AA9">
        <w:rPr>
          <w:color w:val="222222"/>
        </w:rPr>
        <w:t>Všetky dokumenty však konštatujú zhoršujúcu sa demografickú štruktúru obyvateľstva a prudký nárast podielu obyvateľstva v poproduktívnom veku.</w:t>
      </w:r>
      <w:r w:rsidR="00401067">
        <w:rPr>
          <w:color w:val="222222"/>
        </w:rPr>
        <w:t xml:space="preserve"> Nástup nevhodnej demografickej</w:t>
      </w:r>
      <w:r w:rsidR="00401067" w:rsidRPr="00487AA9">
        <w:rPr>
          <w:color w:val="222222"/>
        </w:rPr>
        <w:t xml:space="preserve"> </w:t>
      </w:r>
      <w:r w:rsidR="00171FB2">
        <w:rPr>
          <w:color w:val="222222"/>
        </w:rPr>
        <w:t>štruktúry</w:t>
      </w:r>
      <w:r w:rsidR="00401067">
        <w:rPr>
          <w:color w:val="222222"/>
        </w:rPr>
        <w:t xml:space="preserve"> </w:t>
      </w:r>
      <w:r w:rsidR="00DA3E3A" w:rsidRPr="00487AA9">
        <w:rPr>
          <w:color w:val="222222"/>
        </w:rPr>
        <w:t>–</w:t>
      </w:r>
      <w:r w:rsidR="00401067">
        <w:rPr>
          <w:color w:val="222222"/>
        </w:rPr>
        <w:t xml:space="preserve"> nárast obyvateľstva v poproduktívnom veku sa napr. konštatuje až</w:t>
      </w:r>
      <w:r w:rsidR="00171FB2">
        <w:rPr>
          <w:color w:val="222222"/>
        </w:rPr>
        <w:t xml:space="preserve"> aj</w:t>
      </w:r>
      <w:r w:rsidR="00401067">
        <w:rPr>
          <w:color w:val="222222"/>
        </w:rPr>
        <w:t xml:space="preserve"> pri príprave aktualizácie národnej stratégie regionálneho rozvoja, no na vznikajúci problém neboli </w:t>
      </w:r>
      <w:r w:rsidR="00171FB2">
        <w:rPr>
          <w:color w:val="222222"/>
        </w:rPr>
        <w:t xml:space="preserve">v dobe vypracovania aktualizácie </w:t>
      </w:r>
      <w:r w:rsidR="00401067">
        <w:rPr>
          <w:color w:val="222222"/>
        </w:rPr>
        <w:t xml:space="preserve">navrhnuté </w:t>
      </w:r>
      <w:r w:rsidR="00401067" w:rsidRPr="00EB316D">
        <w:rPr>
          <w:color w:val="222222"/>
        </w:rPr>
        <w:t xml:space="preserve">ešte žiadne </w:t>
      </w:r>
      <w:r w:rsidR="008D32D2" w:rsidRPr="00EB316D">
        <w:rPr>
          <w:color w:val="222222"/>
        </w:rPr>
        <w:t>riešenia, pretože v tej dobe bol nárast nepomeru medzi jednotlivými skupiny obyvateľstva podľa vekových skupín ešte pomerne miern</w:t>
      </w:r>
      <w:r w:rsidR="00F9139A" w:rsidRPr="00EB316D">
        <w:rPr>
          <w:color w:val="222222"/>
        </w:rPr>
        <w:t>y</w:t>
      </w:r>
      <w:r w:rsidR="008D32D2" w:rsidRPr="00EB316D">
        <w:rPr>
          <w:color w:val="222222"/>
        </w:rPr>
        <w:t xml:space="preserve"> a problémy z toho vyplývajúce neboli až také vypuklé.</w:t>
      </w:r>
    </w:p>
    <w:p w:rsidR="004F3B11" w:rsidRPr="00487AA9" w:rsidRDefault="004F3B11" w:rsidP="004F4349">
      <w:pPr>
        <w:jc w:val="both"/>
        <w:rPr>
          <w:color w:val="222222"/>
        </w:rPr>
      </w:pPr>
      <w:r w:rsidRPr="00487AA9">
        <w:rPr>
          <w:color w:val="222222"/>
        </w:rPr>
        <w:lastRenderedPageBreak/>
        <w:t xml:space="preserve">Obce majú záujem o umiestnenie svojich občanov na trh práce, no v rámci spolupráce s Úradom práce, sociálnych vecí a rodiny </w:t>
      </w:r>
      <w:r w:rsidR="002B6DC7" w:rsidRPr="00487AA9">
        <w:rPr>
          <w:color w:val="222222"/>
        </w:rPr>
        <w:t>v</w:t>
      </w:r>
      <w:r w:rsidR="00756EFE" w:rsidRPr="00487AA9">
        <w:rPr>
          <w:color w:val="222222"/>
        </w:rPr>
        <w:t> </w:t>
      </w:r>
      <w:r w:rsidR="002B6DC7" w:rsidRPr="00487AA9">
        <w:rPr>
          <w:color w:val="222222"/>
        </w:rPr>
        <w:t>tom</w:t>
      </w:r>
      <w:r w:rsidR="00756EFE" w:rsidRPr="00487AA9">
        <w:rPr>
          <w:color w:val="222222"/>
        </w:rPr>
        <w:t>-</w:t>
      </w:r>
      <w:r w:rsidR="002B6DC7" w:rsidRPr="00487AA9">
        <w:rPr>
          <w:color w:val="222222"/>
        </w:rPr>
        <w:t xml:space="preserve">ktorom okrese </w:t>
      </w:r>
      <w:r w:rsidRPr="00487AA9">
        <w:rPr>
          <w:color w:val="222222"/>
        </w:rPr>
        <w:t xml:space="preserve">sú najviac využívané aktivačné práce (v zmysle zákona č. 5/2004 Z. z. o službách zamestnanosti). Rovnako majú záujem ich zamestnať pri poskytovaní sociálnych služieb pre seniorov alebo občanov so zdravotným postihnutím a pri zriaďovaní opatrovateľskej služby. Aj tu však vstupuje do popredia </w:t>
      </w:r>
      <w:r w:rsidR="008B3FE2">
        <w:rPr>
          <w:color w:val="222222"/>
        </w:rPr>
        <w:t>problém, že nie všetky osoby vo </w:t>
      </w:r>
      <w:r w:rsidRPr="00487AA9">
        <w:rPr>
          <w:color w:val="222222"/>
        </w:rPr>
        <w:t xml:space="preserve">veku nad 50 </w:t>
      </w:r>
      <w:r w:rsidR="0054525B" w:rsidRPr="00487AA9">
        <w:rPr>
          <w:color w:val="222222"/>
        </w:rPr>
        <w:t xml:space="preserve">+, </w:t>
      </w:r>
      <w:r w:rsidRPr="00487AA9">
        <w:rPr>
          <w:color w:val="222222"/>
        </w:rPr>
        <w:t xml:space="preserve">najmä ženy, sú fyzicky schopné vzhľadom na svoj vlastný zdravotný stav zvládnuť starostlivosť o ležiacich seniorov alebo osoby s ťažkým zdravotným postihnutím v domácich podmienkach klienta.  </w:t>
      </w:r>
    </w:p>
    <w:p w:rsidR="004F3B11" w:rsidRDefault="004F3B11" w:rsidP="004F4349">
      <w:pPr>
        <w:jc w:val="both"/>
        <w:rPr>
          <w:color w:val="222222"/>
        </w:rPr>
      </w:pPr>
      <w:r w:rsidRPr="00487AA9">
        <w:rPr>
          <w:color w:val="222222"/>
        </w:rPr>
        <w:t>Okrem meniacich sa legislatívnych podmienok je ďalším problémom najmä menších obcí s vysokým indexom starnutia nedostatok finančných prostriedkov na rozširovanie ponuky sociálnych služieb poskytovaných obcou a tým aj zvýšenie zamestnanosti. Vážnym problém</w:t>
      </w:r>
      <w:r w:rsidR="00F9139A">
        <w:rPr>
          <w:color w:val="222222"/>
        </w:rPr>
        <w:t>om</w:t>
      </w:r>
      <w:r w:rsidRPr="00487AA9">
        <w:rPr>
          <w:color w:val="222222"/>
        </w:rPr>
        <w:t xml:space="preserve"> je aj otázka nízkeho finančného hodnotenia opatrovateľskej služby. </w:t>
      </w:r>
    </w:p>
    <w:p w:rsidR="00824AAF" w:rsidRPr="00B52155" w:rsidRDefault="00824AAF" w:rsidP="00824AAF">
      <w:pPr>
        <w:pStyle w:val="Nadpis1"/>
        <w:numPr>
          <w:ilvl w:val="0"/>
          <w:numId w:val="2"/>
        </w:numPr>
        <w:rPr>
          <w:rFonts w:asciiTheme="minorHAnsi" w:hAnsiTheme="minorHAnsi"/>
        </w:rPr>
      </w:pPr>
      <w:bookmarkStart w:id="12" w:name="_Toc536729067"/>
      <w:bookmarkStart w:id="13" w:name="_Toc536769644"/>
      <w:bookmarkStart w:id="14" w:name="_Toc535768739"/>
      <w:r w:rsidRPr="00B52155">
        <w:rPr>
          <w:rFonts w:asciiTheme="minorHAnsi" w:hAnsiTheme="minorHAnsi"/>
        </w:rPr>
        <w:t>ZÁVERY</w:t>
      </w:r>
      <w:bookmarkEnd w:id="12"/>
      <w:bookmarkEnd w:id="13"/>
      <w:r w:rsidRPr="00B52155">
        <w:rPr>
          <w:rFonts w:asciiTheme="minorHAnsi" w:hAnsiTheme="minorHAnsi"/>
        </w:rPr>
        <w:t xml:space="preserve"> </w:t>
      </w:r>
    </w:p>
    <w:p w:rsidR="00E30282" w:rsidRDefault="00824AAF" w:rsidP="00824AAF">
      <w:pPr>
        <w:pStyle w:val="Nadpis2"/>
        <w:ind w:left="1418" w:hanging="708"/>
        <w:rPr>
          <w:rFonts w:asciiTheme="minorHAnsi" w:hAnsiTheme="minorHAnsi"/>
        </w:rPr>
      </w:pPr>
      <w:bookmarkStart w:id="15" w:name="_Toc536769645"/>
      <w:r>
        <w:rPr>
          <w:rFonts w:asciiTheme="minorHAnsi" w:hAnsiTheme="minorHAnsi"/>
        </w:rPr>
        <w:t xml:space="preserve">4.1 </w:t>
      </w:r>
      <w:r w:rsidR="00E30282" w:rsidRPr="00E30282">
        <w:rPr>
          <w:rFonts w:asciiTheme="minorHAnsi" w:hAnsiTheme="minorHAnsi"/>
        </w:rPr>
        <w:t>Identifikované bariéry a</w:t>
      </w:r>
      <w:r w:rsidR="00756EFE">
        <w:rPr>
          <w:rFonts w:asciiTheme="minorHAnsi" w:hAnsiTheme="minorHAnsi"/>
        </w:rPr>
        <w:t> </w:t>
      </w:r>
      <w:r w:rsidR="00E30282" w:rsidRPr="00E30282">
        <w:rPr>
          <w:rFonts w:asciiTheme="minorHAnsi" w:hAnsiTheme="minorHAnsi"/>
        </w:rPr>
        <w:t>obmedzenia</w:t>
      </w:r>
      <w:bookmarkEnd w:id="14"/>
      <w:bookmarkEnd w:id="15"/>
    </w:p>
    <w:p w:rsidR="00824AAF" w:rsidRDefault="00824AAF" w:rsidP="004F4349">
      <w:pPr>
        <w:jc w:val="both"/>
        <w:rPr>
          <w:color w:val="222222"/>
        </w:rPr>
      </w:pPr>
    </w:p>
    <w:p w:rsidR="00191296" w:rsidRDefault="00725326" w:rsidP="00191296">
      <w:pPr>
        <w:spacing w:after="0"/>
        <w:jc w:val="both"/>
        <w:rPr>
          <w:color w:val="222222"/>
        </w:rPr>
      </w:pPr>
      <w:r w:rsidRPr="00487AA9">
        <w:rPr>
          <w:color w:val="222222"/>
        </w:rPr>
        <w:t>Na národnej a regionálnej úrovni je vo vypracovaných strategických a plánovacích dokumentoch zameran</w:t>
      </w:r>
      <w:r w:rsidR="00576B8B" w:rsidRPr="00487AA9">
        <w:rPr>
          <w:color w:val="222222"/>
        </w:rPr>
        <w:t>ie</w:t>
      </w:r>
      <w:r w:rsidRPr="00487AA9">
        <w:rPr>
          <w:color w:val="222222"/>
        </w:rPr>
        <w:t xml:space="preserve"> najmä na čerpanie finančných zdrojov z fondov EÚ</w:t>
      </w:r>
      <w:r w:rsidR="00576B8B" w:rsidRPr="00487AA9">
        <w:rPr>
          <w:color w:val="222222"/>
        </w:rPr>
        <w:t xml:space="preserve">. Konkrétne </w:t>
      </w:r>
      <w:r w:rsidRPr="00487AA9">
        <w:rPr>
          <w:color w:val="222222"/>
        </w:rPr>
        <w:t xml:space="preserve">zameranie </w:t>
      </w:r>
      <w:r w:rsidR="00576B8B" w:rsidRPr="00487AA9">
        <w:rPr>
          <w:color w:val="222222"/>
        </w:rPr>
        <w:t>projek</w:t>
      </w:r>
      <w:r w:rsidR="00171FB2">
        <w:rPr>
          <w:color w:val="222222"/>
        </w:rPr>
        <w:t>t</w:t>
      </w:r>
      <w:r w:rsidR="00576B8B" w:rsidRPr="00487AA9">
        <w:rPr>
          <w:color w:val="222222"/>
        </w:rPr>
        <w:t xml:space="preserve">ov </w:t>
      </w:r>
      <w:r w:rsidR="0051679D" w:rsidRPr="00487AA9">
        <w:rPr>
          <w:color w:val="222222"/>
        </w:rPr>
        <w:t xml:space="preserve">na riešenie problému nezamestnanosti </w:t>
      </w:r>
      <w:r w:rsidR="00576B8B" w:rsidRPr="00487AA9">
        <w:rPr>
          <w:color w:val="222222"/>
        </w:rPr>
        <w:t xml:space="preserve">je </w:t>
      </w:r>
      <w:r w:rsidRPr="00487AA9">
        <w:rPr>
          <w:color w:val="222222"/>
        </w:rPr>
        <w:t>všeobecn</w:t>
      </w:r>
      <w:r w:rsidR="00576B8B" w:rsidRPr="00487AA9">
        <w:rPr>
          <w:color w:val="222222"/>
        </w:rPr>
        <w:t>é</w:t>
      </w:r>
      <w:r w:rsidRPr="00487AA9">
        <w:rPr>
          <w:color w:val="222222"/>
        </w:rPr>
        <w:t xml:space="preserve"> </w:t>
      </w:r>
      <w:r w:rsidR="0051679D" w:rsidRPr="00487AA9">
        <w:rPr>
          <w:color w:val="222222"/>
        </w:rPr>
        <w:t xml:space="preserve">pre </w:t>
      </w:r>
      <w:r w:rsidRPr="00487AA9">
        <w:rPr>
          <w:color w:val="222222"/>
        </w:rPr>
        <w:t>marginalizované skupiny</w:t>
      </w:r>
      <w:r w:rsidR="0051679D" w:rsidRPr="00487AA9">
        <w:rPr>
          <w:color w:val="222222"/>
        </w:rPr>
        <w:t xml:space="preserve"> ako celok</w:t>
      </w:r>
      <w:r w:rsidRPr="00487AA9">
        <w:rPr>
          <w:color w:val="222222"/>
        </w:rPr>
        <w:t xml:space="preserve">, </w:t>
      </w:r>
      <w:r w:rsidR="00576B8B" w:rsidRPr="00487AA9">
        <w:rPr>
          <w:color w:val="222222"/>
        </w:rPr>
        <w:t xml:space="preserve">a nerieši samostatne </w:t>
      </w:r>
      <w:r w:rsidRPr="00487AA9">
        <w:rPr>
          <w:color w:val="222222"/>
        </w:rPr>
        <w:t>vekov</w:t>
      </w:r>
      <w:r w:rsidR="00576B8B" w:rsidRPr="00487AA9">
        <w:rPr>
          <w:color w:val="222222"/>
        </w:rPr>
        <w:t>ú</w:t>
      </w:r>
      <w:r w:rsidRPr="00487AA9">
        <w:rPr>
          <w:color w:val="222222"/>
        </w:rPr>
        <w:t xml:space="preserve"> skupin</w:t>
      </w:r>
      <w:r w:rsidR="00576B8B" w:rsidRPr="00487AA9">
        <w:rPr>
          <w:color w:val="222222"/>
        </w:rPr>
        <w:t>u</w:t>
      </w:r>
      <w:r w:rsidRPr="00487AA9">
        <w:rPr>
          <w:color w:val="222222"/>
        </w:rPr>
        <w:t xml:space="preserve"> a nezamestnaných vo veku 50 rokov a viac.</w:t>
      </w:r>
      <w:r w:rsidR="0051679D" w:rsidRPr="00487AA9">
        <w:rPr>
          <w:color w:val="222222"/>
        </w:rPr>
        <w:t xml:space="preserve"> O problémoch nezamestnanosti/zamestnávania tejto skupiny osôb sa v spoločnosti </w:t>
      </w:r>
      <w:r w:rsidR="0020588B" w:rsidRPr="00487AA9">
        <w:rPr>
          <w:color w:val="222222"/>
        </w:rPr>
        <w:t xml:space="preserve">hovorí, no </w:t>
      </w:r>
      <w:r w:rsidR="0051679D" w:rsidRPr="00487AA9">
        <w:rPr>
          <w:color w:val="222222"/>
        </w:rPr>
        <w:t xml:space="preserve">na regionálnej alebo miestnej úrovni doteraz neboli prijaté žiadne konkrétne </w:t>
      </w:r>
      <w:r w:rsidR="0051679D" w:rsidRPr="00801532">
        <w:rPr>
          <w:color w:val="222222"/>
        </w:rPr>
        <w:t xml:space="preserve">opatrenia. </w:t>
      </w:r>
      <w:r w:rsidR="00756EFE" w:rsidRPr="00457081">
        <w:rPr>
          <w:b/>
          <w:color w:val="222222"/>
        </w:rPr>
        <w:t xml:space="preserve">Z regionálneho </w:t>
      </w:r>
      <w:r w:rsidR="0051679D" w:rsidRPr="00457081">
        <w:rPr>
          <w:b/>
          <w:color w:val="222222"/>
        </w:rPr>
        <w:t>hľadiska</w:t>
      </w:r>
      <w:r w:rsidR="00756EFE" w:rsidRPr="00457081">
        <w:rPr>
          <w:b/>
          <w:color w:val="222222"/>
        </w:rPr>
        <w:t xml:space="preserve"> sa problému zvyšujúceho sa počtu nezamestnaných osôb vo veku 50 rokov a viac </w:t>
      </w:r>
      <w:r w:rsidR="0051679D" w:rsidRPr="00457081">
        <w:rPr>
          <w:b/>
          <w:color w:val="222222"/>
        </w:rPr>
        <w:t xml:space="preserve">doteraz </w:t>
      </w:r>
      <w:r w:rsidR="00756EFE" w:rsidRPr="00457081">
        <w:rPr>
          <w:b/>
          <w:color w:val="222222"/>
        </w:rPr>
        <w:t>nevenoval</w:t>
      </w:r>
      <w:r w:rsidR="00576B8B" w:rsidRPr="00457081">
        <w:rPr>
          <w:b/>
          <w:color w:val="222222"/>
        </w:rPr>
        <w:t xml:space="preserve"> </w:t>
      </w:r>
      <w:r w:rsidR="00756EFE" w:rsidRPr="00457081">
        <w:rPr>
          <w:b/>
          <w:color w:val="222222"/>
        </w:rPr>
        <w:t>ani jeden z analyzovaných dokumentov.</w:t>
      </w:r>
      <w:r w:rsidR="0020588B" w:rsidRPr="00457081">
        <w:rPr>
          <w:b/>
          <w:color w:val="222222"/>
        </w:rPr>
        <w:t xml:space="preserve"> </w:t>
      </w:r>
      <w:r w:rsidR="00191296">
        <w:rPr>
          <w:color w:val="222222"/>
        </w:rPr>
        <w:t xml:space="preserve">Je potrebné aby sa tieto dokumenty a aktuálne </w:t>
      </w:r>
      <w:proofErr w:type="spellStart"/>
      <w:r w:rsidR="00191296">
        <w:rPr>
          <w:color w:val="222222"/>
        </w:rPr>
        <w:t>stratégi</w:t>
      </w:r>
      <w:r w:rsidR="00191296">
        <w:rPr>
          <w:color w:val="222222"/>
        </w:rPr>
        <w:t>cké</w:t>
      </w:r>
      <w:proofErr w:type="spellEnd"/>
      <w:r w:rsidR="00191296">
        <w:rPr>
          <w:color w:val="222222"/>
        </w:rPr>
        <w:t xml:space="preserve"> a </w:t>
      </w:r>
      <w:proofErr w:type="spellStart"/>
      <w:r w:rsidR="00191296">
        <w:rPr>
          <w:color w:val="222222"/>
        </w:rPr>
        <w:t>a</w:t>
      </w:r>
      <w:proofErr w:type="spellEnd"/>
      <w:r w:rsidR="00191296">
        <w:rPr>
          <w:color w:val="222222"/>
        </w:rPr>
        <w:t xml:space="preserve"> programové dokumenty </w:t>
      </w:r>
      <w:r w:rsidR="00191296">
        <w:rPr>
          <w:color w:val="222222"/>
        </w:rPr>
        <w:t xml:space="preserve">cielene </w:t>
      </w:r>
      <w:r w:rsidR="00191296">
        <w:rPr>
          <w:color w:val="222222"/>
        </w:rPr>
        <w:t>venovali  cieľovej skupine  50+,</w:t>
      </w:r>
      <w:r w:rsidR="00191296">
        <w:rPr>
          <w:color w:val="222222"/>
        </w:rPr>
        <w:t xml:space="preserve"> n</w:t>
      </w:r>
      <w:r w:rsidR="00191296">
        <w:rPr>
          <w:color w:val="222222"/>
        </w:rPr>
        <w:t>akoľko táto cieľová skupina  má určité špecifi</w:t>
      </w:r>
      <w:r w:rsidR="00353052">
        <w:rPr>
          <w:color w:val="222222"/>
        </w:rPr>
        <w:t xml:space="preserve">cké problémy, ktoré je </w:t>
      </w:r>
      <w:r w:rsidR="00191296">
        <w:rPr>
          <w:color w:val="222222"/>
        </w:rPr>
        <w:t xml:space="preserve">potrebné zohľadňovať a riešiť. </w:t>
      </w:r>
    </w:p>
    <w:p w:rsidR="00576B8B" w:rsidRPr="00457081" w:rsidRDefault="00576B8B" w:rsidP="004F4349">
      <w:pPr>
        <w:jc w:val="both"/>
        <w:rPr>
          <w:b/>
          <w:color w:val="222222"/>
        </w:rPr>
      </w:pPr>
    </w:p>
    <w:p w:rsidR="00756EFE" w:rsidRPr="00487AA9" w:rsidRDefault="00576B8B" w:rsidP="004F4349">
      <w:pPr>
        <w:jc w:val="both"/>
        <w:rPr>
          <w:color w:val="222222"/>
        </w:rPr>
      </w:pPr>
      <w:r w:rsidRPr="00487AA9">
        <w:rPr>
          <w:color w:val="222222"/>
        </w:rPr>
        <w:t>V budúcnosti je t</w:t>
      </w:r>
      <w:r w:rsidR="0020588B" w:rsidRPr="00487AA9">
        <w:rPr>
          <w:color w:val="222222"/>
        </w:rPr>
        <w:t xml:space="preserve">aktiež potrebné venovať väčšiu pozornosť frustrácii a zhoršujúcemu sa sociálno-ekonomickému postaveniu/chudobe nezamestnaných starších </w:t>
      </w:r>
      <w:r w:rsidR="008B3FE2">
        <w:rPr>
          <w:color w:val="222222"/>
        </w:rPr>
        <w:t>osôb v preddôchodkovom veku, čo </w:t>
      </w:r>
      <w:r w:rsidR="0020588B" w:rsidRPr="00487AA9">
        <w:rPr>
          <w:color w:val="222222"/>
        </w:rPr>
        <w:t>častokrát vedie aj k zhoršeniu zdravotného stavu a kvality života tejto skupiny osôb.</w:t>
      </w:r>
    </w:p>
    <w:p w:rsidR="000A4A21" w:rsidRDefault="000A4A21" w:rsidP="00AD0BCD">
      <w:pPr>
        <w:rPr>
          <w:rFonts w:ascii="Calibri" w:hAnsi="Calibri"/>
        </w:rPr>
      </w:pPr>
    </w:p>
    <w:sectPr w:rsidR="000A4A21" w:rsidSect="006C7513">
      <w:headerReference w:type="default" r:id="rId25"/>
      <w:footerReference w:type="default" r:id="rId26"/>
      <w:headerReference w:type="first" r:id="rId27"/>
      <w:type w:val="continuous"/>
      <w:pgSz w:w="11906" w:h="16838"/>
      <w:pgMar w:top="2410"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632" w:rsidRDefault="001C3632" w:rsidP="00093F2C">
      <w:pPr>
        <w:spacing w:after="0" w:line="240" w:lineRule="auto"/>
      </w:pPr>
      <w:r>
        <w:separator/>
      </w:r>
    </w:p>
  </w:endnote>
  <w:endnote w:type="continuationSeparator" w:id="0">
    <w:p w:rsidR="001C3632" w:rsidRDefault="001C3632" w:rsidP="0009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TCBookmanE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944210"/>
      <w:docPartObj>
        <w:docPartGallery w:val="Page Numbers (Bottom of Page)"/>
        <w:docPartUnique/>
      </w:docPartObj>
    </w:sdtPr>
    <w:sdtContent>
      <w:p w:rsidR="001C3632" w:rsidRDefault="001C3632">
        <w:pPr>
          <w:pStyle w:val="Pta"/>
          <w:jc w:val="right"/>
        </w:pPr>
        <w:r>
          <w:rPr>
            <w:noProof/>
            <w:lang w:val="cs-CZ"/>
          </w:rPr>
          <w:fldChar w:fldCharType="begin"/>
        </w:r>
        <w:r>
          <w:rPr>
            <w:noProof/>
            <w:lang w:val="cs-CZ"/>
          </w:rPr>
          <w:instrText>PAGE   \* MERGEFORMAT</w:instrText>
        </w:r>
        <w:r>
          <w:rPr>
            <w:noProof/>
            <w:lang w:val="cs-CZ"/>
          </w:rPr>
          <w:fldChar w:fldCharType="separate"/>
        </w:r>
        <w:r w:rsidR="00B06AD8">
          <w:rPr>
            <w:noProof/>
            <w:lang w:val="cs-CZ"/>
          </w:rPr>
          <w:t>21</w:t>
        </w:r>
        <w:r>
          <w:rPr>
            <w:noProof/>
            <w:lang w:val="cs-CZ"/>
          </w:rPr>
          <w:fldChar w:fldCharType="end"/>
        </w:r>
      </w:p>
      <w:p w:rsidR="001C3632" w:rsidRDefault="001C3632" w:rsidP="00DF54F4">
        <w:pPr>
          <w:pStyle w:val="Pta"/>
          <w:jc w:val="center"/>
        </w:pPr>
        <w:r w:rsidRPr="00B55291">
          <w:rPr>
            <w:rFonts w:ascii="Verdana" w:hAnsi="Verdana"/>
            <w:i/>
            <w:color w:val="808080" w:themeColor="background1" w:themeShade="80"/>
            <w:sz w:val="20"/>
            <w:szCs w:val="20"/>
          </w:rPr>
          <w:t>Tento projekt je podporený z Európskeho sociálneho fondu</w:t>
        </w:r>
      </w:p>
    </w:sdtContent>
  </w:sdt>
  <w:p w:rsidR="001C3632" w:rsidRPr="00B55291" w:rsidRDefault="001C3632" w:rsidP="00093F2C">
    <w:pPr>
      <w:pStyle w:val="Pta"/>
      <w:jc w:val="center"/>
      <w:rPr>
        <w:rFonts w:ascii="Verdana" w:hAnsi="Verdana"/>
        <w:i/>
        <w:color w:val="808080" w:themeColor="background1" w:themeShade="8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78462"/>
      <w:docPartObj>
        <w:docPartGallery w:val="Page Numbers (Bottom of Page)"/>
        <w:docPartUnique/>
      </w:docPartObj>
    </w:sdtPr>
    <w:sdtContent>
      <w:p w:rsidR="001C3632" w:rsidRDefault="001C3632">
        <w:pPr>
          <w:pStyle w:val="Pta"/>
          <w:jc w:val="right"/>
        </w:pPr>
        <w:r>
          <w:rPr>
            <w:noProof/>
            <w:lang w:val="cs-CZ"/>
          </w:rPr>
          <w:fldChar w:fldCharType="begin"/>
        </w:r>
        <w:r>
          <w:rPr>
            <w:noProof/>
            <w:lang w:val="cs-CZ"/>
          </w:rPr>
          <w:instrText>PAGE   \* MERGEFORMAT</w:instrText>
        </w:r>
        <w:r>
          <w:rPr>
            <w:noProof/>
            <w:lang w:val="cs-CZ"/>
          </w:rPr>
          <w:fldChar w:fldCharType="separate"/>
        </w:r>
        <w:r w:rsidR="00B06AD8">
          <w:rPr>
            <w:noProof/>
            <w:lang w:val="cs-CZ"/>
          </w:rPr>
          <w:t>24</w:t>
        </w:r>
        <w:r>
          <w:rPr>
            <w:noProof/>
            <w:lang w:val="cs-CZ"/>
          </w:rPr>
          <w:fldChar w:fldCharType="end"/>
        </w:r>
      </w:p>
      <w:p w:rsidR="001C3632" w:rsidRDefault="001C3632" w:rsidP="00DF54F4">
        <w:pPr>
          <w:pStyle w:val="Pta"/>
          <w:jc w:val="center"/>
        </w:pPr>
        <w:r w:rsidRPr="00B55291">
          <w:rPr>
            <w:rFonts w:ascii="Verdana" w:hAnsi="Verdana"/>
            <w:i/>
            <w:color w:val="808080" w:themeColor="background1" w:themeShade="80"/>
            <w:sz w:val="20"/>
            <w:szCs w:val="20"/>
          </w:rPr>
          <w:t>Tento projekt je podporený z Európskeho sociálneho fondu</w:t>
        </w:r>
      </w:p>
    </w:sdtContent>
  </w:sdt>
  <w:p w:rsidR="001C3632" w:rsidRPr="00B55291" w:rsidRDefault="001C3632" w:rsidP="00093F2C">
    <w:pPr>
      <w:pStyle w:val="Pta"/>
      <w:jc w:val="center"/>
      <w:rPr>
        <w:rFonts w:ascii="Verdana" w:hAnsi="Verdana"/>
        <w:i/>
        <w:color w:val="808080" w:themeColor="background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632" w:rsidRDefault="001C3632" w:rsidP="00093F2C">
      <w:pPr>
        <w:spacing w:after="0" w:line="240" w:lineRule="auto"/>
      </w:pPr>
      <w:r>
        <w:separator/>
      </w:r>
    </w:p>
  </w:footnote>
  <w:footnote w:type="continuationSeparator" w:id="0">
    <w:p w:rsidR="001C3632" w:rsidRDefault="001C3632" w:rsidP="00093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32" w:rsidRDefault="001C3632">
    <w:pPr>
      <w:pStyle w:val="Hlavika"/>
    </w:pPr>
    <w:r>
      <w:rPr>
        <w:noProof/>
        <w:sz w:val="20"/>
        <w:szCs w:val="20"/>
        <w:lang w:eastAsia="sk-SK"/>
      </w:rPr>
      <w:drawing>
        <wp:anchor distT="0" distB="0" distL="114300" distR="114300" simplePos="0" relativeHeight="251663360" behindDoc="0" locked="0" layoutInCell="1" allowOverlap="1">
          <wp:simplePos x="0" y="0"/>
          <wp:positionH relativeFrom="column">
            <wp:posOffset>709930</wp:posOffset>
          </wp:positionH>
          <wp:positionV relativeFrom="paragraph">
            <wp:posOffset>-78105</wp:posOffset>
          </wp:positionV>
          <wp:extent cx="4533900" cy="752475"/>
          <wp:effectExtent l="0" t="0" r="0" b="0"/>
          <wp:wrapNone/>
          <wp:docPr id="23" name="Obrázok 23" descr="cid:B54046E0-E018-4695-B763-48B2B264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id:B54046E0-E018-4695-B763-48B2B26413F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0" cy="7524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32" w:rsidRDefault="001C3632">
    <w:pPr>
      <w:pStyle w:val="Hlavika"/>
    </w:pPr>
    <w:r>
      <w:rPr>
        <w:noProof/>
        <w:sz w:val="20"/>
        <w:szCs w:val="20"/>
        <w:lang w:eastAsia="sk-SK"/>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4533900" cy="752475"/>
          <wp:effectExtent l="0" t="0" r="0" b="0"/>
          <wp:wrapNone/>
          <wp:docPr id="24" name="Obrázok 6" descr="cid:B54046E0-E018-4695-B763-48B2B264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id:B54046E0-E018-4695-B763-48B2B26413F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0" cy="7524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32" w:rsidRDefault="001C3632">
    <w:pPr>
      <w:pStyle w:val="Hlavika"/>
    </w:pPr>
    <w:r>
      <w:rPr>
        <w:noProof/>
        <w:sz w:val="20"/>
        <w:szCs w:val="20"/>
        <w:lang w:eastAsia="sk-SK"/>
      </w:rPr>
      <w:drawing>
        <wp:anchor distT="0" distB="0" distL="114300" distR="114300" simplePos="0" relativeHeight="251659264" behindDoc="0" locked="0" layoutInCell="1" allowOverlap="1">
          <wp:simplePos x="0" y="0"/>
          <wp:positionH relativeFrom="column">
            <wp:posOffset>709930</wp:posOffset>
          </wp:positionH>
          <wp:positionV relativeFrom="paragraph">
            <wp:posOffset>-78105</wp:posOffset>
          </wp:positionV>
          <wp:extent cx="4533900" cy="752475"/>
          <wp:effectExtent l="0" t="0" r="0" b="0"/>
          <wp:wrapNone/>
          <wp:docPr id="1" name="Obrázok 6" descr="cid:B54046E0-E018-4695-B763-48B2B264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id:B54046E0-E018-4695-B763-48B2B26413F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0" cy="752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632" w:rsidRDefault="001C3632">
    <w:pPr>
      <w:pStyle w:val="Hlavika"/>
    </w:pPr>
    <w:r>
      <w:rPr>
        <w:noProof/>
        <w:sz w:val="20"/>
        <w:szCs w:val="20"/>
        <w:lang w:eastAsia="sk-SK"/>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4533900" cy="752475"/>
          <wp:effectExtent l="0" t="0" r="0" b="0"/>
          <wp:wrapNone/>
          <wp:docPr id="4" name="Obrázok 6" descr="cid:B54046E0-E018-4695-B763-48B2B264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id:B54046E0-E018-4695-B763-48B2B26413F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0"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30A07"/>
    <w:multiLevelType w:val="multilevel"/>
    <w:tmpl w:val="CBBA1C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D2FF4"/>
    <w:multiLevelType w:val="multilevel"/>
    <w:tmpl w:val="B53EB8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4F81BD" w:themeColor="accen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F58A1"/>
    <w:multiLevelType w:val="multilevel"/>
    <w:tmpl w:val="478C2E7A"/>
    <w:lvl w:ilvl="0">
      <w:start w:val="1"/>
      <w:numFmt w:val="decimal"/>
      <w:lvlText w:val="%1."/>
      <w:lvlJc w:val="left"/>
      <w:pPr>
        <w:ind w:left="786" w:hanging="360"/>
      </w:pPr>
      <w:rPr>
        <w:rFonts w:hint="default"/>
      </w:rPr>
    </w:lvl>
    <w:lvl w:ilvl="1">
      <w:start w:val="7"/>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1FB77EC"/>
    <w:multiLevelType w:val="hybridMultilevel"/>
    <w:tmpl w:val="78D4C188"/>
    <w:lvl w:ilvl="0" w:tplc="F47856C0">
      <w:numFmt w:val="bullet"/>
      <w:lvlText w:val="-"/>
      <w:lvlJc w:val="left"/>
      <w:pPr>
        <w:ind w:left="720" w:hanging="360"/>
      </w:pPr>
      <w:rPr>
        <w:rFonts w:ascii="Calibri" w:eastAsiaTheme="minorHAns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515782"/>
    <w:multiLevelType w:val="multilevel"/>
    <w:tmpl w:val="CF126B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DE6720"/>
    <w:multiLevelType w:val="hybridMultilevel"/>
    <w:tmpl w:val="48647E2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A91657E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F05463"/>
    <w:multiLevelType w:val="multilevel"/>
    <w:tmpl w:val="332A4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D73C6"/>
    <w:multiLevelType w:val="multilevel"/>
    <w:tmpl w:val="8E14390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22CA4685"/>
    <w:multiLevelType w:val="hybridMultilevel"/>
    <w:tmpl w:val="4E269CCA"/>
    <w:lvl w:ilvl="0" w:tplc="F47856C0">
      <w:numFmt w:val="bullet"/>
      <w:lvlText w:val="-"/>
      <w:lvlJc w:val="left"/>
      <w:pPr>
        <w:ind w:left="720" w:hanging="360"/>
      </w:pPr>
      <w:rPr>
        <w:rFonts w:ascii="Calibri" w:eastAsiaTheme="minorHAns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F1043C7"/>
    <w:multiLevelType w:val="multilevel"/>
    <w:tmpl w:val="D9F889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FD070CD"/>
    <w:multiLevelType w:val="multilevel"/>
    <w:tmpl w:val="68421550"/>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37BE24AD"/>
    <w:multiLevelType w:val="hybridMultilevel"/>
    <w:tmpl w:val="150A8AF6"/>
    <w:lvl w:ilvl="0" w:tplc="EB8C1474">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E15242"/>
    <w:multiLevelType w:val="hybridMultilevel"/>
    <w:tmpl w:val="0CD6F2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750A15"/>
    <w:multiLevelType w:val="multilevel"/>
    <w:tmpl w:val="158CF1BE"/>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4" w15:restartNumberingAfterBreak="0">
    <w:nsid w:val="3DA76E3F"/>
    <w:multiLevelType w:val="hybridMultilevel"/>
    <w:tmpl w:val="48647E2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A91657E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1F51F8"/>
    <w:multiLevelType w:val="multilevel"/>
    <w:tmpl w:val="A66AC65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2F57EDE"/>
    <w:multiLevelType w:val="hybridMultilevel"/>
    <w:tmpl w:val="9CACE4FE"/>
    <w:lvl w:ilvl="0" w:tplc="041B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7" w15:restartNumberingAfterBreak="0">
    <w:nsid w:val="46624DE1"/>
    <w:multiLevelType w:val="multilevel"/>
    <w:tmpl w:val="A3406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7E5505D"/>
    <w:multiLevelType w:val="hybridMultilevel"/>
    <w:tmpl w:val="29C8521A"/>
    <w:lvl w:ilvl="0" w:tplc="734ED356">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9080DA1"/>
    <w:multiLevelType w:val="hybridMultilevel"/>
    <w:tmpl w:val="0442AED0"/>
    <w:lvl w:ilvl="0" w:tplc="EB8C1474">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643D07"/>
    <w:multiLevelType w:val="multilevel"/>
    <w:tmpl w:val="889EBBA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color w:val="548DD4" w:themeColor="text2" w:themeTint="9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F45419"/>
    <w:multiLevelType w:val="hybridMultilevel"/>
    <w:tmpl w:val="691A97C6"/>
    <w:lvl w:ilvl="0" w:tplc="7FECECDC">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E353CC"/>
    <w:multiLevelType w:val="hybridMultilevel"/>
    <w:tmpl w:val="17D6F2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111800"/>
    <w:multiLevelType w:val="hybridMultilevel"/>
    <w:tmpl w:val="DD84D056"/>
    <w:lvl w:ilvl="0" w:tplc="EB8C1474">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DD18D7"/>
    <w:multiLevelType w:val="hybridMultilevel"/>
    <w:tmpl w:val="B37419A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614F27"/>
    <w:multiLevelType w:val="hybridMultilevel"/>
    <w:tmpl w:val="8C6ED1D6"/>
    <w:lvl w:ilvl="0" w:tplc="132E229A">
      <w:start w:val="1"/>
      <w:numFmt w:val="bullet"/>
      <w:lvlText w:val="•"/>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C46CF6"/>
    <w:multiLevelType w:val="hybridMultilevel"/>
    <w:tmpl w:val="9C8EA4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1C2645"/>
    <w:multiLevelType w:val="multilevel"/>
    <w:tmpl w:val="CA3E32B6"/>
    <w:lvl w:ilvl="0">
      <w:start w:val="1"/>
      <w:numFmt w:val="decimal"/>
      <w:lvlText w:val="%1"/>
      <w:lvlJc w:val="left"/>
      <w:pPr>
        <w:ind w:left="360" w:hanging="360"/>
      </w:pPr>
      <w:rPr>
        <w:rFonts w:hint="default"/>
      </w:rPr>
    </w:lvl>
    <w:lvl w:ilvl="1">
      <w:start w:val="4"/>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360" w:hanging="1800"/>
      </w:pPr>
      <w:rPr>
        <w:rFonts w:hint="default"/>
      </w:rPr>
    </w:lvl>
  </w:abstractNum>
  <w:abstractNum w:abstractNumId="28" w15:restartNumberingAfterBreak="0">
    <w:nsid w:val="67590BDE"/>
    <w:multiLevelType w:val="hybridMultilevel"/>
    <w:tmpl w:val="C83645EC"/>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76C4C3E"/>
    <w:multiLevelType w:val="hybridMultilevel"/>
    <w:tmpl w:val="E852278A"/>
    <w:lvl w:ilvl="0" w:tplc="EE2E1BA2">
      <w:numFmt w:val="bullet"/>
      <w:lvlText w:val="-"/>
      <w:lvlJc w:val="left"/>
      <w:pPr>
        <w:ind w:left="1071" w:hanging="360"/>
      </w:pPr>
      <w:rPr>
        <w:rFonts w:ascii="Times New Roman" w:eastAsia="Times New Roman" w:hAnsi="Times New Roman" w:cs="Times New Roman" w:hint="default"/>
      </w:rPr>
    </w:lvl>
    <w:lvl w:ilvl="1" w:tplc="041B0003" w:tentative="1">
      <w:start w:val="1"/>
      <w:numFmt w:val="bullet"/>
      <w:lvlText w:val="o"/>
      <w:lvlJc w:val="left"/>
      <w:pPr>
        <w:ind w:left="1791" w:hanging="360"/>
      </w:pPr>
      <w:rPr>
        <w:rFonts w:ascii="Courier New" w:hAnsi="Courier New" w:cs="Courier New" w:hint="default"/>
      </w:rPr>
    </w:lvl>
    <w:lvl w:ilvl="2" w:tplc="041B0005" w:tentative="1">
      <w:start w:val="1"/>
      <w:numFmt w:val="bullet"/>
      <w:lvlText w:val=""/>
      <w:lvlJc w:val="left"/>
      <w:pPr>
        <w:ind w:left="2511" w:hanging="360"/>
      </w:pPr>
      <w:rPr>
        <w:rFonts w:ascii="Wingdings" w:hAnsi="Wingdings" w:hint="default"/>
      </w:rPr>
    </w:lvl>
    <w:lvl w:ilvl="3" w:tplc="041B0001" w:tentative="1">
      <w:start w:val="1"/>
      <w:numFmt w:val="bullet"/>
      <w:lvlText w:val=""/>
      <w:lvlJc w:val="left"/>
      <w:pPr>
        <w:ind w:left="3231" w:hanging="360"/>
      </w:pPr>
      <w:rPr>
        <w:rFonts w:ascii="Symbol" w:hAnsi="Symbol" w:hint="default"/>
      </w:rPr>
    </w:lvl>
    <w:lvl w:ilvl="4" w:tplc="041B0003" w:tentative="1">
      <w:start w:val="1"/>
      <w:numFmt w:val="bullet"/>
      <w:lvlText w:val="o"/>
      <w:lvlJc w:val="left"/>
      <w:pPr>
        <w:ind w:left="3951" w:hanging="360"/>
      </w:pPr>
      <w:rPr>
        <w:rFonts w:ascii="Courier New" w:hAnsi="Courier New" w:cs="Courier New" w:hint="default"/>
      </w:rPr>
    </w:lvl>
    <w:lvl w:ilvl="5" w:tplc="041B0005" w:tentative="1">
      <w:start w:val="1"/>
      <w:numFmt w:val="bullet"/>
      <w:lvlText w:val=""/>
      <w:lvlJc w:val="left"/>
      <w:pPr>
        <w:ind w:left="4671" w:hanging="360"/>
      </w:pPr>
      <w:rPr>
        <w:rFonts w:ascii="Wingdings" w:hAnsi="Wingdings" w:hint="default"/>
      </w:rPr>
    </w:lvl>
    <w:lvl w:ilvl="6" w:tplc="041B0001" w:tentative="1">
      <w:start w:val="1"/>
      <w:numFmt w:val="bullet"/>
      <w:lvlText w:val=""/>
      <w:lvlJc w:val="left"/>
      <w:pPr>
        <w:ind w:left="5391" w:hanging="360"/>
      </w:pPr>
      <w:rPr>
        <w:rFonts w:ascii="Symbol" w:hAnsi="Symbol" w:hint="default"/>
      </w:rPr>
    </w:lvl>
    <w:lvl w:ilvl="7" w:tplc="041B0003" w:tentative="1">
      <w:start w:val="1"/>
      <w:numFmt w:val="bullet"/>
      <w:lvlText w:val="o"/>
      <w:lvlJc w:val="left"/>
      <w:pPr>
        <w:ind w:left="6111" w:hanging="360"/>
      </w:pPr>
      <w:rPr>
        <w:rFonts w:ascii="Courier New" w:hAnsi="Courier New" w:cs="Courier New" w:hint="default"/>
      </w:rPr>
    </w:lvl>
    <w:lvl w:ilvl="8" w:tplc="041B0005" w:tentative="1">
      <w:start w:val="1"/>
      <w:numFmt w:val="bullet"/>
      <w:lvlText w:val=""/>
      <w:lvlJc w:val="left"/>
      <w:pPr>
        <w:ind w:left="6831" w:hanging="360"/>
      </w:pPr>
      <w:rPr>
        <w:rFonts w:ascii="Wingdings" w:hAnsi="Wingdings" w:hint="default"/>
      </w:rPr>
    </w:lvl>
  </w:abstractNum>
  <w:abstractNum w:abstractNumId="30" w15:restartNumberingAfterBreak="0">
    <w:nsid w:val="77BD4F70"/>
    <w:multiLevelType w:val="hybridMultilevel"/>
    <w:tmpl w:val="9C8EA4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3001F4"/>
    <w:multiLevelType w:val="hybridMultilevel"/>
    <w:tmpl w:val="348C55EA"/>
    <w:lvl w:ilvl="0" w:tplc="EB8C1474">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0"/>
  </w:num>
  <w:num w:numId="4">
    <w:abstractNumId w:val="15"/>
  </w:num>
  <w:num w:numId="5">
    <w:abstractNumId w:val="13"/>
  </w:num>
  <w:num w:numId="6">
    <w:abstractNumId w:val="24"/>
  </w:num>
  <w:num w:numId="7">
    <w:abstractNumId w:val="21"/>
  </w:num>
  <w:num w:numId="8">
    <w:abstractNumId w:val="11"/>
  </w:num>
  <w:num w:numId="9">
    <w:abstractNumId w:val="19"/>
  </w:num>
  <w:num w:numId="10">
    <w:abstractNumId w:val="12"/>
  </w:num>
  <w:num w:numId="11">
    <w:abstractNumId w:val="22"/>
  </w:num>
  <w:num w:numId="12">
    <w:abstractNumId w:val="16"/>
  </w:num>
  <w:num w:numId="13">
    <w:abstractNumId w:val="30"/>
  </w:num>
  <w:num w:numId="14">
    <w:abstractNumId w:val="6"/>
  </w:num>
  <w:num w:numId="15">
    <w:abstractNumId w:val="9"/>
  </w:num>
  <w:num w:numId="16">
    <w:abstractNumId w:val="25"/>
  </w:num>
  <w:num w:numId="17">
    <w:abstractNumId w:val="8"/>
  </w:num>
  <w:num w:numId="18">
    <w:abstractNumId w:val="3"/>
  </w:num>
  <w:num w:numId="19">
    <w:abstractNumId w:val="2"/>
  </w:num>
  <w:num w:numId="20">
    <w:abstractNumId w:val="17"/>
  </w:num>
  <w:num w:numId="21">
    <w:abstractNumId w:val="0"/>
  </w:num>
  <w:num w:numId="22">
    <w:abstractNumId w:val="4"/>
  </w:num>
  <w:num w:numId="23">
    <w:abstractNumId w:val="28"/>
  </w:num>
  <w:num w:numId="24">
    <w:abstractNumId w:val="31"/>
  </w:num>
  <w:num w:numId="25">
    <w:abstractNumId w:val="23"/>
  </w:num>
  <w:num w:numId="26">
    <w:abstractNumId w:val="7"/>
  </w:num>
  <w:num w:numId="27">
    <w:abstractNumId w:val="10"/>
  </w:num>
  <w:num w:numId="28">
    <w:abstractNumId w:val="27"/>
  </w:num>
  <w:num w:numId="29">
    <w:abstractNumId w:val="1"/>
  </w:num>
  <w:num w:numId="30">
    <w:abstractNumId w:val="29"/>
  </w:num>
  <w:num w:numId="31">
    <w:abstractNumId w:val="2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98"/>
    <w:rsid w:val="000062CD"/>
    <w:rsid w:val="000066BE"/>
    <w:rsid w:val="000124DC"/>
    <w:rsid w:val="000141A0"/>
    <w:rsid w:val="0002403D"/>
    <w:rsid w:val="000253D4"/>
    <w:rsid w:val="000355E3"/>
    <w:rsid w:val="0003696D"/>
    <w:rsid w:val="00036ABB"/>
    <w:rsid w:val="00040BB6"/>
    <w:rsid w:val="00040FDE"/>
    <w:rsid w:val="00052DCE"/>
    <w:rsid w:val="00057497"/>
    <w:rsid w:val="000641F3"/>
    <w:rsid w:val="00071EBD"/>
    <w:rsid w:val="000826CE"/>
    <w:rsid w:val="00085D1C"/>
    <w:rsid w:val="0009131E"/>
    <w:rsid w:val="00093F2C"/>
    <w:rsid w:val="000A1F39"/>
    <w:rsid w:val="000A4A21"/>
    <w:rsid w:val="000A5B31"/>
    <w:rsid w:val="000C1D46"/>
    <w:rsid w:val="000C4036"/>
    <w:rsid w:val="000D173E"/>
    <w:rsid w:val="000D18BB"/>
    <w:rsid w:val="000E36F0"/>
    <w:rsid w:val="000E3AAB"/>
    <w:rsid w:val="000F5E3C"/>
    <w:rsid w:val="0011161A"/>
    <w:rsid w:val="0011565A"/>
    <w:rsid w:val="0011778A"/>
    <w:rsid w:val="001239FA"/>
    <w:rsid w:val="001262A0"/>
    <w:rsid w:val="00145A1F"/>
    <w:rsid w:val="00150E86"/>
    <w:rsid w:val="00160ADD"/>
    <w:rsid w:val="00162801"/>
    <w:rsid w:val="001708F0"/>
    <w:rsid w:val="00171FB2"/>
    <w:rsid w:val="00173FBF"/>
    <w:rsid w:val="00174F3F"/>
    <w:rsid w:val="001767A8"/>
    <w:rsid w:val="00191296"/>
    <w:rsid w:val="001B1CBE"/>
    <w:rsid w:val="001B6558"/>
    <w:rsid w:val="001C096A"/>
    <w:rsid w:val="001C3632"/>
    <w:rsid w:val="001C5FCE"/>
    <w:rsid w:val="001C6437"/>
    <w:rsid w:val="001C7282"/>
    <w:rsid w:val="001E0490"/>
    <w:rsid w:val="001E566A"/>
    <w:rsid w:val="0020588B"/>
    <w:rsid w:val="00214611"/>
    <w:rsid w:val="00227287"/>
    <w:rsid w:val="00234811"/>
    <w:rsid w:val="0024426D"/>
    <w:rsid w:val="0024663D"/>
    <w:rsid w:val="00246864"/>
    <w:rsid w:val="00247C63"/>
    <w:rsid w:val="00260CAF"/>
    <w:rsid w:val="0026253A"/>
    <w:rsid w:val="0026326F"/>
    <w:rsid w:val="00270B8F"/>
    <w:rsid w:val="00276871"/>
    <w:rsid w:val="00281085"/>
    <w:rsid w:val="002A1653"/>
    <w:rsid w:val="002B6DC7"/>
    <w:rsid w:val="002B74F0"/>
    <w:rsid w:val="002C6EB6"/>
    <w:rsid w:val="002D1F14"/>
    <w:rsid w:val="002D5259"/>
    <w:rsid w:val="002D571B"/>
    <w:rsid w:val="002F0CE6"/>
    <w:rsid w:val="002F1D1A"/>
    <w:rsid w:val="002F3CF1"/>
    <w:rsid w:val="0030370C"/>
    <w:rsid w:val="00304B99"/>
    <w:rsid w:val="00304BDB"/>
    <w:rsid w:val="0030629E"/>
    <w:rsid w:val="003068A4"/>
    <w:rsid w:val="00312027"/>
    <w:rsid w:val="003219BC"/>
    <w:rsid w:val="00344E68"/>
    <w:rsid w:val="003518A8"/>
    <w:rsid w:val="00353052"/>
    <w:rsid w:val="0035434E"/>
    <w:rsid w:val="00354B6B"/>
    <w:rsid w:val="00356AC3"/>
    <w:rsid w:val="00360F74"/>
    <w:rsid w:val="00366536"/>
    <w:rsid w:val="0037126E"/>
    <w:rsid w:val="00371502"/>
    <w:rsid w:val="0039102A"/>
    <w:rsid w:val="00394012"/>
    <w:rsid w:val="00397C8F"/>
    <w:rsid w:val="003A3373"/>
    <w:rsid w:val="003D30E4"/>
    <w:rsid w:val="003D3808"/>
    <w:rsid w:val="003D3CD4"/>
    <w:rsid w:val="003D4567"/>
    <w:rsid w:val="003D7251"/>
    <w:rsid w:val="003D7CF8"/>
    <w:rsid w:val="003E11FF"/>
    <w:rsid w:val="003E491D"/>
    <w:rsid w:val="003E645F"/>
    <w:rsid w:val="003F1FD0"/>
    <w:rsid w:val="00401067"/>
    <w:rsid w:val="00401C56"/>
    <w:rsid w:val="00403E53"/>
    <w:rsid w:val="0040649A"/>
    <w:rsid w:val="004068AC"/>
    <w:rsid w:val="0042010B"/>
    <w:rsid w:val="004234F3"/>
    <w:rsid w:val="00432F90"/>
    <w:rsid w:val="00452D50"/>
    <w:rsid w:val="0045640D"/>
    <w:rsid w:val="00457081"/>
    <w:rsid w:val="00462865"/>
    <w:rsid w:val="00466DC7"/>
    <w:rsid w:val="00472046"/>
    <w:rsid w:val="00486893"/>
    <w:rsid w:val="00487AA9"/>
    <w:rsid w:val="00490516"/>
    <w:rsid w:val="00490F1E"/>
    <w:rsid w:val="004920B9"/>
    <w:rsid w:val="004A13B6"/>
    <w:rsid w:val="004A17AE"/>
    <w:rsid w:val="004A4487"/>
    <w:rsid w:val="004A4E8B"/>
    <w:rsid w:val="004A641C"/>
    <w:rsid w:val="004A661A"/>
    <w:rsid w:val="004B0A00"/>
    <w:rsid w:val="004B22F2"/>
    <w:rsid w:val="004B7A3F"/>
    <w:rsid w:val="004C0065"/>
    <w:rsid w:val="004C0BA9"/>
    <w:rsid w:val="004C14DE"/>
    <w:rsid w:val="004C3600"/>
    <w:rsid w:val="004D1A0A"/>
    <w:rsid w:val="004D60C0"/>
    <w:rsid w:val="004F35DB"/>
    <w:rsid w:val="004F3B11"/>
    <w:rsid w:val="004F4349"/>
    <w:rsid w:val="0051082E"/>
    <w:rsid w:val="0051100E"/>
    <w:rsid w:val="00514212"/>
    <w:rsid w:val="00514825"/>
    <w:rsid w:val="005165DB"/>
    <w:rsid w:val="0051679D"/>
    <w:rsid w:val="005209F3"/>
    <w:rsid w:val="00540C12"/>
    <w:rsid w:val="00541D1A"/>
    <w:rsid w:val="0054525B"/>
    <w:rsid w:val="0054743C"/>
    <w:rsid w:val="00552797"/>
    <w:rsid w:val="00555880"/>
    <w:rsid w:val="00566051"/>
    <w:rsid w:val="00573A7C"/>
    <w:rsid w:val="00574518"/>
    <w:rsid w:val="00576B8B"/>
    <w:rsid w:val="00577A08"/>
    <w:rsid w:val="00583AC7"/>
    <w:rsid w:val="00586009"/>
    <w:rsid w:val="00586695"/>
    <w:rsid w:val="00590C69"/>
    <w:rsid w:val="00592A82"/>
    <w:rsid w:val="00593ABD"/>
    <w:rsid w:val="00593B12"/>
    <w:rsid w:val="005A05CA"/>
    <w:rsid w:val="005A2A27"/>
    <w:rsid w:val="005A50A0"/>
    <w:rsid w:val="005B0C29"/>
    <w:rsid w:val="005B522A"/>
    <w:rsid w:val="005B5251"/>
    <w:rsid w:val="005D03B2"/>
    <w:rsid w:val="005D15BB"/>
    <w:rsid w:val="005E06B2"/>
    <w:rsid w:val="005E0AD3"/>
    <w:rsid w:val="005E1A74"/>
    <w:rsid w:val="005E2ED2"/>
    <w:rsid w:val="005F2410"/>
    <w:rsid w:val="005F2F61"/>
    <w:rsid w:val="00615DA2"/>
    <w:rsid w:val="006237BA"/>
    <w:rsid w:val="0062402E"/>
    <w:rsid w:val="00631A66"/>
    <w:rsid w:val="00632488"/>
    <w:rsid w:val="0063531C"/>
    <w:rsid w:val="0063665B"/>
    <w:rsid w:val="00655B09"/>
    <w:rsid w:val="00672959"/>
    <w:rsid w:val="00674BE7"/>
    <w:rsid w:val="006921F3"/>
    <w:rsid w:val="006A43F2"/>
    <w:rsid w:val="006B21B2"/>
    <w:rsid w:val="006B74B2"/>
    <w:rsid w:val="006C1781"/>
    <w:rsid w:val="006C20DF"/>
    <w:rsid w:val="006C7513"/>
    <w:rsid w:val="006D191B"/>
    <w:rsid w:val="006D6A9D"/>
    <w:rsid w:val="006E467B"/>
    <w:rsid w:val="006F0292"/>
    <w:rsid w:val="006F3A2D"/>
    <w:rsid w:val="006F5B99"/>
    <w:rsid w:val="00700CC6"/>
    <w:rsid w:val="00705729"/>
    <w:rsid w:val="00707074"/>
    <w:rsid w:val="00720711"/>
    <w:rsid w:val="00724FBB"/>
    <w:rsid w:val="00725326"/>
    <w:rsid w:val="0073083D"/>
    <w:rsid w:val="00737F0F"/>
    <w:rsid w:val="00737FD6"/>
    <w:rsid w:val="00741EBE"/>
    <w:rsid w:val="00742C72"/>
    <w:rsid w:val="007444D4"/>
    <w:rsid w:val="00745C0B"/>
    <w:rsid w:val="00756EFE"/>
    <w:rsid w:val="00762137"/>
    <w:rsid w:val="00771E66"/>
    <w:rsid w:val="0077276B"/>
    <w:rsid w:val="00783ADE"/>
    <w:rsid w:val="007868F6"/>
    <w:rsid w:val="00786C48"/>
    <w:rsid w:val="00787BBA"/>
    <w:rsid w:val="00792014"/>
    <w:rsid w:val="0079391F"/>
    <w:rsid w:val="00794147"/>
    <w:rsid w:val="007A3970"/>
    <w:rsid w:val="007A580D"/>
    <w:rsid w:val="007B05C3"/>
    <w:rsid w:val="007C06B8"/>
    <w:rsid w:val="007C3734"/>
    <w:rsid w:val="007D12AF"/>
    <w:rsid w:val="007E359C"/>
    <w:rsid w:val="007E4AFF"/>
    <w:rsid w:val="007F15F3"/>
    <w:rsid w:val="007F2138"/>
    <w:rsid w:val="007F38B8"/>
    <w:rsid w:val="00801532"/>
    <w:rsid w:val="00801823"/>
    <w:rsid w:val="0080569C"/>
    <w:rsid w:val="00813814"/>
    <w:rsid w:val="00815ED0"/>
    <w:rsid w:val="00824AAF"/>
    <w:rsid w:val="00850221"/>
    <w:rsid w:val="00861389"/>
    <w:rsid w:val="00872B52"/>
    <w:rsid w:val="008776B5"/>
    <w:rsid w:val="00882976"/>
    <w:rsid w:val="008A448A"/>
    <w:rsid w:val="008B3FE2"/>
    <w:rsid w:val="008D32D2"/>
    <w:rsid w:val="008D58FF"/>
    <w:rsid w:val="008D6323"/>
    <w:rsid w:val="008D7125"/>
    <w:rsid w:val="008E08B8"/>
    <w:rsid w:val="008E166E"/>
    <w:rsid w:val="008E1C8A"/>
    <w:rsid w:val="008E7C7D"/>
    <w:rsid w:val="00905492"/>
    <w:rsid w:val="00916DB9"/>
    <w:rsid w:val="00920F09"/>
    <w:rsid w:val="009222EF"/>
    <w:rsid w:val="0092596D"/>
    <w:rsid w:val="00943082"/>
    <w:rsid w:val="00946E5B"/>
    <w:rsid w:val="00946FDF"/>
    <w:rsid w:val="00950E69"/>
    <w:rsid w:val="0095424E"/>
    <w:rsid w:val="00956909"/>
    <w:rsid w:val="009753B7"/>
    <w:rsid w:val="00977969"/>
    <w:rsid w:val="00983C11"/>
    <w:rsid w:val="00995167"/>
    <w:rsid w:val="009970D9"/>
    <w:rsid w:val="009B16A5"/>
    <w:rsid w:val="009B4D59"/>
    <w:rsid w:val="009B4DD0"/>
    <w:rsid w:val="009C2386"/>
    <w:rsid w:val="009C38C3"/>
    <w:rsid w:val="009C5752"/>
    <w:rsid w:val="009D3835"/>
    <w:rsid w:val="009D7FAB"/>
    <w:rsid w:val="009E0FDE"/>
    <w:rsid w:val="009E15E8"/>
    <w:rsid w:val="009E508B"/>
    <w:rsid w:val="009F3E76"/>
    <w:rsid w:val="009F6386"/>
    <w:rsid w:val="00A071B6"/>
    <w:rsid w:val="00A103BE"/>
    <w:rsid w:val="00A12B35"/>
    <w:rsid w:val="00A13B4F"/>
    <w:rsid w:val="00A15609"/>
    <w:rsid w:val="00A173D3"/>
    <w:rsid w:val="00A21B4F"/>
    <w:rsid w:val="00A247D5"/>
    <w:rsid w:val="00A26552"/>
    <w:rsid w:val="00A348FE"/>
    <w:rsid w:val="00A35A7D"/>
    <w:rsid w:val="00A41E8F"/>
    <w:rsid w:val="00A50B25"/>
    <w:rsid w:val="00A5175E"/>
    <w:rsid w:val="00A52448"/>
    <w:rsid w:val="00A55FEE"/>
    <w:rsid w:val="00A657F3"/>
    <w:rsid w:val="00A70159"/>
    <w:rsid w:val="00A7067D"/>
    <w:rsid w:val="00A753B4"/>
    <w:rsid w:val="00A92FD0"/>
    <w:rsid w:val="00A94ED5"/>
    <w:rsid w:val="00A95281"/>
    <w:rsid w:val="00A97214"/>
    <w:rsid w:val="00AA3A53"/>
    <w:rsid w:val="00AB28B3"/>
    <w:rsid w:val="00AC083E"/>
    <w:rsid w:val="00AD0BCD"/>
    <w:rsid w:val="00AD2F24"/>
    <w:rsid w:val="00AD60D7"/>
    <w:rsid w:val="00AE0241"/>
    <w:rsid w:val="00AE1E69"/>
    <w:rsid w:val="00AE33F0"/>
    <w:rsid w:val="00AE698E"/>
    <w:rsid w:val="00B011E5"/>
    <w:rsid w:val="00B06005"/>
    <w:rsid w:val="00B06AD8"/>
    <w:rsid w:val="00B124D2"/>
    <w:rsid w:val="00B210FE"/>
    <w:rsid w:val="00B269D7"/>
    <w:rsid w:val="00B34277"/>
    <w:rsid w:val="00B64F9C"/>
    <w:rsid w:val="00B720D5"/>
    <w:rsid w:val="00B83440"/>
    <w:rsid w:val="00B906B8"/>
    <w:rsid w:val="00BA0836"/>
    <w:rsid w:val="00BB09F3"/>
    <w:rsid w:val="00BB3275"/>
    <w:rsid w:val="00BC50CE"/>
    <w:rsid w:val="00BE5556"/>
    <w:rsid w:val="00BE6D98"/>
    <w:rsid w:val="00BF1B16"/>
    <w:rsid w:val="00BF7944"/>
    <w:rsid w:val="00C0480B"/>
    <w:rsid w:val="00C04C01"/>
    <w:rsid w:val="00C06CFF"/>
    <w:rsid w:val="00C3273B"/>
    <w:rsid w:val="00C43CBF"/>
    <w:rsid w:val="00C5252B"/>
    <w:rsid w:val="00C542A1"/>
    <w:rsid w:val="00C567DA"/>
    <w:rsid w:val="00C70C07"/>
    <w:rsid w:val="00C73976"/>
    <w:rsid w:val="00C82898"/>
    <w:rsid w:val="00C9685E"/>
    <w:rsid w:val="00C96876"/>
    <w:rsid w:val="00CA3B75"/>
    <w:rsid w:val="00CA61DB"/>
    <w:rsid w:val="00CB2361"/>
    <w:rsid w:val="00CD4D6A"/>
    <w:rsid w:val="00CD6B63"/>
    <w:rsid w:val="00CE5657"/>
    <w:rsid w:val="00CE5BD1"/>
    <w:rsid w:val="00CE6A33"/>
    <w:rsid w:val="00D012BD"/>
    <w:rsid w:val="00D01EA4"/>
    <w:rsid w:val="00D034E3"/>
    <w:rsid w:val="00D03F19"/>
    <w:rsid w:val="00D119E1"/>
    <w:rsid w:val="00D135CA"/>
    <w:rsid w:val="00D14377"/>
    <w:rsid w:val="00D25C05"/>
    <w:rsid w:val="00D261D6"/>
    <w:rsid w:val="00D3026D"/>
    <w:rsid w:val="00D365F2"/>
    <w:rsid w:val="00D37BC9"/>
    <w:rsid w:val="00D60463"/>
    <w:rsid w:val="00D6727D"/>
    <w:rsid w:val="00D76A4E"/>
    <w:rsid w:val="00D83ED7"/>
    <w:rsid w:val="00D8493C"/>
    <w:rsid w:val="00D90DE2"/>
    <w:rsid w:val="00D916AF"/>
    <w:rsid w:val="00DA3E3A"/>
    <w:rsid w:val="00DB1969"/>
    <w:rsid w:val="00DB2E49"/>
    <w:rsid w:val="00DB565A"/>
    <w:rsid w:val="00DC3181"/>
    <w:rsid w:val="00DC4440"/>
    <w:rsid w:val="00DC5A2A"/>
    <w:rsid w:val="00DE50CC"/>
    <w:rsid w:val="00DF19B7"/>
    <w:rsid w:val="00DF348B"/>
    <w:rsid w:val="00DF54F4"/>
    <w:rsid w:val="00E026AA"/>
    <w:rsid w:val="00E0560C"/>
    <w:rsid w:val="00E07D70"/>
    <w:rsid w:val="00E12736"/>
    <w:rsid w:val="00E157A3"/>
    <w:rsid w:val="00E30282"/>
    <w:rsid w:val="00E43C5F"/>
    <w:rsid w:val="00E53687"/>
    <w:rsid w:val="00E638A8"/>
    <w:rsid w:val="00E64CD8"/>
    <w:rsid w:val="00E671BC"/>
    <w:rsid w:val="00E800E3"/>
    <w:rsid w:val="00E87F09"/>
    <w:rsid w:val="00E975D4"/>
    <w:rsid w:val="00EA00E6"/>
    <w:rsid w:val="00EA4FBA"/>
    <w:rsid w:val="00EB2729"/>
    <w:rsid w:val="00EB316D"/>
    <w:rsid w:val="00EB6F01"/>
    <w:rsid w:val="00ED0525"/>
    <w:rsid w:val="00EE4354"/>
    <w:rsid w:val="00EE6D54"/>
    <w:rsid w:val="00EF04FF"/>
    <w:rsid w:val="00EF283D"/>
    <w:rsid w:val="00F22CCF"/>
    <w:rsid w:val="00F26455"/>
    <w:rsid w:val="00F2738A"/>
    <w:rsid w:val="00F27D7C"/>
    <w:rsid w:val="00F307BC"/>
    <w:rsid w:val="00F404E6"/>
    <w:rsid w:val="00F45C01"/>
    <w:rsid w:val="00F47B9E"/>
    <w:rsid w:val="00F52AB8"/>
    <w:rsid w:val="00F54EF9"/>
    <w:rsid w:val="00F54FAE"/>
    <w:rsid w:val="00F737F5"/>
    <w:rsid w:val="00F7491F"/>
    <w:rsid w:val="00F8471B"/>
    <w:rsid w:val="00F84F40"/>
    <w:rsid w:val="00F8522F"/>
    <w:rsid w:val="00F9139A"/>
    <w:rsid w:val="00F94163"/>
    <w:rsid w:val="00F9508B"/>
    <w:rsid w:val="00FA3AE0"/>
    <w:rsid w:val="00FB0DB0"/>
    <w:rsid w:val="00FB5A7A"/>
    <w:rsid w:val="00FC2AAE"/>
    <w:rsid w:val="00FC6F13"/>
    <w:rsid w:val="00FD03C1"/>
    <w:rsid w:val="00FD1D46"/>
    <w:rsid w:val="00FD3F5B"/>
    <w:rsid w:val="00FD4369"/>
    <w:rsid w:val="00FD5D47"/>
    <w:rsid w:val="00FE0FFF"/>
    <w:rsid w:val="00FE18B5"/>
    <w:rsid w:val="00FE3660"/>
    <w:rsid w:val="00FE7979"/>
    <w:rsid w:val="00FE7E84"/>
    <w:rsid w:val="00FF75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31C650B-C845-46A8-9342-42FD8FA2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2F24"/>
  </w:style>
  <w:style w:type="paragraph" w:styleId="Nadpis1">
    <w:name w:val="heading 1"/>
    <w:basedOn w:val="Normlny"/>
    <w:next w:val="Normlny"/>
    <w:link w:val="Nadpis1Char"/>
    <w:uiPriority w:val="9"/>
    <w:qFormat/>
    <w:rsid w:val="00AD0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AD0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C828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body,Odsek zoznamu2,Odsek zoznamu1"/>
    <w:basedOn w:val="Normlny"/>
    <w:link w:val="OdsekzoznamuChar"/>
    <w:uiPriority w:val="34"/>
    <w:qFormat/>
    <w:rsid w:val="00AD0BCD"/>
    <w:pPr>
      <w:ind w:left="720"/>
      <w:contextualSpacing/>
    </w:pPr>
  </w:style>
  <w:style w:type="character" w:customStyle="1" w:styleId="Nadpis1Char">
    <w:name w:val="Nadpis 1 Char"/>
    <w:basedOn w:val="Predvolenpsmoodseku"/>
    <w:link w:val="Nadpis1"/>
    <w:uiPriority w:val="9"/>
    <w:rsid w:val="00AD0BC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AD0BCD"/>
    <w:rPr>
      <w:rFonts w:asciiTheme="majorHAnsi" w:eastAsiaTheme="majorEastAsia" w:hAnsiTheme="majorHAnsi" w:cstheme="majorBidi"/>
      <w:b/>
      <w:bCs/>
      <w:color w:val="4F81BD" w:themeColor="accent1"/>
      <w:sz w:val="26"/>
      <w:szCs w:val="26"/>
    </w:rPr>
  </w:style>
  <w:style w:type="paragraph" w:styleId="Hlavikaobsahu">
    <w:name w:val="TOC Heading"/>
    <w:basedOn w:val="Nadpis1"/>
    <w:next w:val="Normlny"/>
    <w:uiPriority w:val="39"/>
    <w:semiHidden/>
    <w:unhideWhenUsed/>
    <w:qFormat/>
    <w:rsid w:val="00093F2C"/>
    <w:pPr>
      <w:outlineLvl w:val="9"/>
    </w:pPr>
    <w:rPr>
      <w:lang w:eastAsia="sk-SK"/>
    </w:rPr>
  </w:style>
  <w:style w:type="paragraph" w:styleId="Obsah1">
    <w:name w:val="toc 1"/>
    <w:basedOn w:val="Normlny"/>
    <w:next w:val="Normlny"/>
    <w:autoRedefine/>
    <w:uiPriority w:val="39"/>
    <w:unhideWhenUsed/>
    <w:rsid w:val="00EE4354"/>
    <w:pPr>
      <w:tabs>
        <w:tab w:val="left" w:pos="440"/>
        <w:tab w:val="right" w:leader="dot" w:pos="9062"/>
      </w:tabs>
      <w:spacing w:after="100"/>
      <w:ind w:left="142"/>
    </w:pPr>
  </w:style>
  <w:style w:type="paragraph" w:styleId="Obsah2">
    <w:name w:val="toc 2"/>
    <w:basedOn w:val="Normlny"/>
    <w:next w:val="Normlny"/>
    <w:autoRedefine/>
    <w:uiPriority w:val="39"/>
    <w:unhideWhenUsed/>
    <w:rsid w:val="00093F2C"/>
    <w:pPr>
      <w:spacing w:after="100"/>
      <w:ind w:left="220"/>
    </w:pPr>
  </w:style>
  <w:style w:type="character" w:styleId="Hypertextovprepojenie">
    <w:name w:val="Hyperlink"/>
    <w:basedOn w:val="Predvolenpsmoodseku"/>
    <w:uiPriority w:val="99"/>
    <w:unhideWhenUsed/>
    <w:rsid w:val="00093F2C"/>
    <w:rPr>
      <w:color w:val="0000FF" w:themeColor="hyperlink"/>
      <w:u w:val="single"/>
    </w:rPr>
  </w:style>
  <w:style w:type="paragraph" w:styleId="Textbubliny">
    <w:name w:val="Balloon Text"/>
    <w:basedOn w:val="Normlny"/>
    <w:link w:val="TextbublinyChar"/>
    <w:uiPriority w:val="99"/>
    <w:semiHidden/>
    <w:unhideWhenUsed/>
    <w:rsid w:val="00093F2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93F2C"/>
    <w:rPr>
      <w:rFonts w:ascii="Tahoma" w:hAnsi="Tahoma" w:cs="Tahoma"/>
      <w:sz w:val="16"/>
      <w:szCs w:val="16"/>
    </w:rPr>
  </w:style>
  <w:style w:type="paragraph" w:styleId="Hlavika">
    <w:name w:val="header"/>
    <w:basedOn w:val="Normlny"/>
    <w:link w:val="HlavikaChar"/>
    <w:uiPriority w:val="99"/>
    <w:unhideWhenUsed/>
    <w:rsid w:val="00093F2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3F2C"/>
  </w:style>
  <w:style w:type="paragraph" w:styleId="Pta">
    <w:name w:val="footer"/>
    <w:basedOn w:val="Normlny"/>
    <w:link w:val="PtaChar"/>
    <w:uiPriority w:val="99"/>
    <w:unhideWhenUsed/>
    <w:rsid w:val="00093F2C"/>
    <w:pPr>
      <w:tabs>
        <w:tab w:val="center" w:pos="4536"/>
        <w:tab w:val="right" w:pos="9072"/>
      </w:tabs>
      <w:spacing w:after="0" w:line="240" w:lineRule="auto"/>
    </w:pPr>
  </w:style>
  <w:style w:type="character" w:customStyle="1" w:styleId="PtaChar">
    <w:name w:val="Päta Char"/>
    <w:basedOn w:val="Predvolenpsmoodseku"/>
    <w:link w:val="Pta"/>
    <w:uiPriority w:val="99"/>
    <w:rsid w:val="00093F2C"/>
  </w:style>
  <w:style w:type="paragraph" w:styleId="Textpoznmkypodiarou">
    <w:name w:val="footnote text"/>
    <w:aliases w:val="Text poznámky pod čiarou 007"/>
    <w:basedOn w:val="Normlny"/>
    <w:link w:val="TextpoznmkypodiarouChar"/>
    <w:uiPriority w:val="99"/>
    <w:semiHidden/>
    <w:unhideWhenUsed/>
    <w:rsid w:val="0002403D"/>
    <w:pPr>
      <w:spacing w:before="200" w:after="0"/>
      <w:jc w:val="both"/>
    </w:pPr>
    <w:rPr>
      <w:rFonts w:ascii="Calibri" w:eastAsia="Calibri" w:hAnsi="Calibri" w:cs="Times New Roman"/>
      <w:sz w:val="20"/>
      <w:szCs w:val="20"/>
      <w:lang w:eastAsia="sk-SK"/>
    </w:rPr>
  </w:style>
  <w:style w:type="character" w:customStyle="1" w:styleId="TextpoznmkypodiarouChar">
    <w:name w:val="Text poznámky pod čiarou Char"/>
    <w:aliases w:val="Text poznámky pod čiarou 007 Char"/>
    <w:basedOn w:val="Predvolenpsmoodseku"/>
    <w:link w:val="Textpoznmkypodiarou"/>
    <w:uiPriority w:val="99"/>
    <w:semiHidden/>
    <w:rsid w:val="0002403D"/>
    <w:rPr>
      <w:rFonts w:ascii="Calibri" w:eastAsia="Calibri" w:hAnsi="Calibri" w:cs="Times New Roman"/>
      <w:sz w:val="20"/>
      <w:szCs w:val="20"/>
      <w:lang w:eastAsia="sk-SK"/>
    </w:rPr>
  </w:style>
  <w:style w:type="character" w:styleId="Odkaznapoznmkupodiarou">
    <w:name w:val="footnote reference"/>
    <w:uiPriority w:val="99"/>
    <w:semiHidden/>
    <w:unhideWhenUsed/>
    <w:rsid w:val="0002403D"/>
    <w:rPr>
      <w:vertAlign w:val="superscript"/>
    </w:rPr>
  </w:style>
  <w:style w:type="paragraph" w:styleId="Bezriadkovania">
    <w:name w:val="No Spacing"/>
    <w:basedOn w:val="Normlny"/>
    <w:link w:val="BezriadkovaniaChar"/>
    <w:uiPriority w:val="1"/>
    <w:qFormat/>
    <w:rsid w:val="0002403D"/>
    <w:pPr>
      <w:spacing w:after="0" w:line="240" w:lineRule="auto"/>
      <w:jc w:val="both"/>
    </w:pPr>
    <w:rPr>
      <w:rFonts w:eastAsiaTheme="minorEastAsia"/>
      <w:sz w:val="20"/>
      <w:szCs w:val="20"/>
      <w:lang w:eastAsia="sk-SK"/>
    </w:rPr>
  </w:style>
  <w:style w:type="character" w:customStyle="1" w:styleId="BezriadkovaniaChar">
    <w:name w:val="Bez riadkovania Char"/>
    <w:basedOn w:val="Predvolenpsmoodseku"/>
    <w:link w:val="Bezriadkovania"/>
    <w:uiPriority w:val="1"/>
    <w:rsid w:val="0002403D"/>
    <w:rPr>
      <w:rFonts w:eastAsiaTheme="minorEastAsia"/>
      <w:sz w:val="20"/>
      <w:szCs w:val="20"/>
      <w:lang w:eastAsia="sk-SK"/>
    </w:rPr>
  </w:style>
  <w:style w:type="character" w:styleId="Siln">
    <w:name w:val="Strong"/>
    <w:basedOn w:val="Predvolenpsmoodseku"/>
    <w:uiPriority w:val="22"/>
    <w:qFormat/>
    <w:rsid w:val="00943082"/>
    <w:rPr>
      <w:b/>
      <w:bCs/>
    </w:rPr>
  </w:style>
  <w:style w:type="character" w:customStyle="1" w:styleId="st">
    <w:name w:val="st"/>
    <w:basedOn w:val="Predvolenpsmoodseku"/>
    <w:rsid w:val="00354B6B"/>
  </w:style>
  <w:style w:type="character" w:styleId="Zvraznenie">
    <w:name w:val="Emphasis"/>
    <w:basedOn w:val="Predvolenpsmoodseku"/>
    <w:uiPriority w:val="20"/>
    <w:qFormat/>
    <w:rsid w:val="00354B6B"/>
    <w:rPr>
      <w:i/>
      <w:iCs/>
    </w:rPr>
  </w:style>
  <w:style w:type="character" w:customStyle="1" w:styleId="apple-converted-space">
    <w:name w:val="apple-converted-space"/>
    <w:basedOn w:val="Predvolenpsmoodseku"/>
    <w:rsid w:val="00E12736"/>
  </w:style>
  <w:style w:type="character" w:styleId="PremennHTML">
    <w:name w:val="HTML Variable"/>
    <w:basedOn w:val="Predvolenpsmoodseku"/>
    <w:uiPriority w:val="99"/>
    <w:semiHidden/>
    <w:unhideWhenUsed/>
    <w:rsid w:val="00E12736"/>
    <w:rPr>
      <w:i/>
      <w:iCs/>
    </w:rPr>
  </w:style>
  <w:style w:type="character" w:customStyle="1" w:styleId="OdsekzoznamuChar">
    <w:name w:val="Odsek zoznamu Char"/>
    <w:aliases w:val="body Char,Odsek zoznamu2 Char,Odsek zoznamu1 Char"/>
    <w:link w:val="Odsekzoznamu"/>
    <w:uiPriority w:val="34"/>
    <w:rsid w:val="00F54FAE"/>
  </w:style>
  <w:style w:type="paragraph" w:customStyle="1" w:styleId="para">
    <w:name w:val="para"/>
    <w:basedOn w:val="Normlny"/>
    <w:rsid w:val="00036AB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7067D"/>
    <w:rPr>
      <w:sz w:val="16"/>
      <w:szCs w:val="16"/>
    </w:rPr>
  </w:style>
  <w:style w:type="paragraph" w:styleId="Textkomentra">
    <w:name w:val="annotation text"/>
    <w:basedOn w:val="Normlny"/>
    <w:link w:val="TextkomentraChar"/>
    <w:uiPriority w:val="99"/>
    <w:semiHidden/>
    <w:unhideWhenUsed/>
    <w:rsid w:val="00A7067D"/>
    <w:pPr>
      <w:spacing w:line="240" w:lineRule="auto"/>
    </w:pPr>
    <w:rPr>
      <w:sz w:val="20"/>
      <w:szCs w:val="20"/>
    </w:rPr>
  </w:style>
  <w:style w:type="character" w:customStyle="1" w:styleId="TextkomentraChar">
    <w:name w:val="Text komentára Char"/>
    <w:basedOn w:val="Predvolenpsmoodseku"/>
    <w:link w:val="Textkomentra"/>
    <w:uiPriority w:val="99"/>
    <w:semiHidden/>
    <w:rsid w:val="00A7067D"/>
    <w:rPr>
      <w:sz w:val="20"/>
      <w:szCs w:val="20"/>
    </w:rPr>
  </w:style>
  <w:style w:type="paragraph" w:styleId="Predmetkomentra">
    <w:name w:val="annotation subject"/>
    <w:basedOn w:val="Textkomentra"/>
    <w:next w:val="Textkomentra"/>
    <w:link w:val="PredmetkomentraChar"/>
    <w:uiPriority w:val="99"/>
    <w:semiHidden/>
    <w:unhideWhenUsed/>
    <w:rsid w:val="00A7067D"/>
    <w:rPr>
      <w:b/>
      <w:bCs/>
    </w:rPr>
  </w:style>
  <w:style w:type="character" w:customStyle="1" w:styleId="PredmetkomentraChar">
    <w:name w:val="Predmet komentára Char"/>
    <w:basedOn w:val="TextkomentraChar"/>
    <w:link w:val="Predmetkomentra"/>
    <w:uiPriority w:val="99"/>
    <w:semiHidden/>
    <w:rsid w:val="00A706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8602">
      <w:bodyDiv w:val="1"/>
      <w:marLeft w:val="0"/>
      <w:marRight w:val="0"/>
      <w:marTop w:val="0"/>
      <w:marBottom w:val="0"/>
      <w:divBdr>
        <w:top w:val="none" w:sz="0" w:space="0" w:color="auto"/>
        <w:left w:val="none" w:sz="0" w:space="0" w:color="auto"/>
        <w:bottom w:val="none" w:sz="0" w:space="0" w:color="auto"/>
        <w:right w:val="none" w:sz="0" w:space="0" w:color="auto"/>
      </w:divBdr>
    </w:div>
    <w:div w:id="114058575">
      <w:bodyDiv w:val="1"/>
      <w:marLeft w:val="0"/>
      <w:marRight w:val="0"/>
      <w:marTop w:val="0"/>
      <w:marBottom w:val="0"/>
      <w:divBdr>
        <w:top w:val="none" w:sz="0" w:space="0" w:color="auto"/>
        <w:left w:val="none" w:sz="0" w:space="0" w:color="auto"/>
        <w:bottom w:val="none" w:sz="0" w:space="0" w:color="auto"/>
        <w:right w:val="none" w:sz="0" w:space="0" w:color="auto"/>
      </w:divBdr>
    </w:div>
    <w:div w:id="126777742">
      <w:bodyDiv w:val="1"/>
      <w:marLeft w:val="0"/>
      <w:marRight w:val="0"/>
      <w:marTop w:val="0"/>
      <w:marBottom w:val="0"/>
      <w:divBdr>
        <w:top w:val="none" w:sz="0" w:space="0" w:color="auto"/>
        <w:left w:val="none" w:sz="0" w:space="0" w:color="auto"/>
        <w:bottom w:val="none" w:sz="0" w:space="0" w:color="auto"/>
        <w:right w:val="none" w:sz="0" w:space="0" w:color="auto"/>
      </w:divBdr>
    </w:div>
    <w:div w:id="263416597">
      <w:bodyDiv w:val="1"/>
      <w:marLeft w:val="0"/>
      <w:marRight w:val="0"/>
      <w:marTop w:val="0"/>
      <w:marBottom w:val="0"/>
      <w:divBdr>
        <w:top w:val="none" w:sz="0" w:space="0" w:color="auto"/>
        <w:left w:val="none" w:sz="0" w:space="0" w:color="auto"/>
        <w:bottom w:val="none" w:sz="0" w:space="0" w:color="auto"/>
        <w:right w:val="none" w:sz="0" w:space="0" w:color="auto"/>
      </w:divBdr>
    </w:div>
    <w:div w:id="355273946">
      <w:bodyDiv w:val="1"/>
      <w:marLeft w:val="0"/>
      <w:marRight w:val="0"/>
      <w:marTop w:val="0"/>
      <w:marBottom w:val="0"/>
      <w:divBdr>
        <w:top w:val="none" w:sz="0" w:space="0" w:color="auto"/>
        <w:left w:val="none" w:sz="0" w:space="0" w:color="auto"/>
        <w:bottom w:val="none" w:sz="0" w:space="0" w:color="auto"/>
        <w:right w:val="none" w:sz="0" w:space="0" w:color="auto"/>
      </w:divBdr>
    </w:div>
    <w:div w:id="565148862">
      <w:bodyDiv w:val="1"/>
      <w:marLeft w:val="0"/>
      <w:marRight w:val="0"/>
      <w:marTop w:val="0"/>
      <w:marBottom w:val="0"/>
      <w:divBdr>
        <w:top w:val="none" w:sz="0" w:space="0" w:color="auto"/>
        <w:left w:val="none" w:sz="0" w:space="0" w:color="auto"/>
        <w:bottom w:val="none" w:sz="0" w:space="0" w:color="auto"/>
        <w:right w:val="none" w:sz="0" w:space="0" w:color="auto"/>
      </w:divBdr>
    </w:div>
    <w:div w:id="574434690">
      <w:bodyDiv w:val="1"/>
      <w:marLeft w:val="0"/>
      <w:marRight w:val="0"/>
      <w:marTop w:val="0"/>
      <w:marBottom w:val="0"/>
      <w:divBdr>
        <w:top w:val="none" w:sz="0" w:space="0" w:color="auto"/>
        <w:left w:val="none" w:sz="0" w:space="0" w:color="auto"/>
        <w:bottom w:val="none" w:sz="0" w:space="0" w:color="auto"/>
        <w:right w:val="none" w:sz="0" w:space="0" w:color="auto"/>
      </w:divBdr>
    </w:div>
    <w:div w:id="1170488773">
      <w:bodyDiv w:val="1"/>
      <w:marLeft w:val="0"/>
      <w:marRight w:val="0"/>
      <w:marTop w:val="0"/>
      <w:marBottom w:val="0"/>
      <w:divBdr>
        <w:top w:val="none" w:sz="0" w:space="0" w:color="auto"/>
        <w:left w:val="none" w:sz="0" w:space="0" w:color="auto"/>
        <w:bottom w:val="none" w:sz="0" w:space="0" w:color="auto"/>
        <w:right w:val="none" w:sz="0" w:space="0" w:color="auto"/>
      </w:divBdr>
    </w:div>
    <w:div w:id="1610890727">
      <w:bodyDiv w:val="1"/>
      <w:marLeft w:val="0"/>
      <w:marRight w:val="0"/>
      <w:marTop w:val="0"/>
      <w:marBottom w:val="0"/>
      <w:divBdr>
        <w:top w:val="none" w:sz="0" w:space="0" w:color="auto"/>
        <w:left w:val="none" w:sz="0" w:space="0" w:color="auto"/>
        <w:bottom w:val="none" w:sz="0" w:space="0" w:color="auto"/>
        <w:right w:val="none" w:sz="0" w:space="0" w:color="auto"/>
      </w:divBdr>
    </w:div>
    <w:div w:id="1654020288">
      <w:bodyDiv w:val="1"/>
      <w:marLeft w:val="0"/>
      <w:marRight w:val="0"/>
      <w:marTop w:val="0"/>
      <w:marBottom w:val="0"/>
      <w:divBdr>
        <w:top w:val="none" w:sz="0" w:space="0" w:color="auto"/>
        <w:left w:val="none" w:sz="0" w:space="0" w:color="auto"/>
        <w:bottom w:val="none" w:sz="0" w:space="0" w:color="auto"/>
        <w:right w:val="none" w:sz="0" w:space="0" w:color="auto"/>
      </w:divBdr>
    </w:div>
    <w:div w:id="1803377318">
      <w:bodyDiv w:val="1"/>
      <w:marLeft w:val="0"/>
      <w:marRight w:val="0"/>
      <w:marTop w:val="0"/>
      <w:marBottom w:val="0"/>
      <w:divBdr>
        <w:top w:val="none" w:sz="0" w:space="0" w:color="auto"/>
        <w:left w:val="none" w:sz="0" w:space="0" w:color="auto"/>
        <w:bottom w:val="none" w:sz="0" w:space="0" w:color="auto"/>
        <w:right w:val="none" w:sz="0" w:space="0" w:color="auto"/>
      </w:divBdr>
    </w:div>
    <w:div w:id="1813257074">
      <w:bodyDiv w:val="1"/>
      <w:marLeft w:val="0"/>
      <w:marRight w:val="0"/>
      <w:marTop w:val="0"/>
      <w:marBottom w:val="0"/>
      <w:divBdr>
        <w:top w:val="none" w:sz="0" w:space="0" w:color="auto"/>
        <w:left w:val="none" w:sz="0" w:space="0" w:color="auto"/>
        <w:bottom w:val="none" w:sz="0" w:space="0" w:color="auto"/>
        <w:right w:val="none" w:sz="0" w:space="0" w:color="auto"/>
      </w:divBdr>
    </w:div>
    <w:div w:id="197574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lov-lex.sk" TargetMode="Externa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H:\Projekty%202018-2019\OP%20EVS\Analyzy\Statistiky\Statistiky_nezmaestnani_2016_2018_2018%20(automaticky%20ulo&#382;en&#23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Projekty%202018-2019\OP%20EVS\Analyzy\Statistiky\Statistiky_nezmaestnani_2016_2018_2018%20(automaticky%20ulo&#382;en&#23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Nov&#253;%20List%20aplikace%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Nov&#253;%20List%20aplikace%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Nov&#253;%20List%20aplikace%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Nov&#253;%20List%20aplikace%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Nov&#253;%20List%20aplikace%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BBSK, prehľad 50+ podľa všetkých okresov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Hárok2!$C$120</c:f>
              <c:strCache>
                <c:ptCount val="1"/>
                <c:pt idx="0">
                  <c:v>Počet obyvateľov </c:v>
                </c:pt>
              </c:strCache>
            </c:strRef>
          </c:tx>
          <c:spPr>
            <a:solidFill>
              <a:schemeClr val="accent1"/>
            </a:solidFill>
            <a:ln>
              <a:noFill/>
            </a:ln>
            <a:effectLst/>
          </c:spPr>
          <c:invertIfNegative val="0"/>
          <c:cat>
            <c:strRef>
              <c:f>Hárok2!$B$121:$B$133</c:f>
              <c:strCache>
                <c:ptCount val="13"/>
                <c:pt idx="0">
                  <c:v>Banská Bystrica</c:v>
                </c:pt>
                <c:pt idx="1">
                  <c:v>Banská Štiavnica</c:v>
                </c:pt>
                <c:pt idx="2">
                  <c:v>Brezno</c:v>
                </c:pt>
                <c:pt idx="3">
                  <c:v>Detva</c:v>
                </c:pt>
                <c:pt idx="4">
                  <c:v>Krupina</c:v>
                </c:pt>
                <c:pt idx="5">
                  <c:v>Lučenec</c:v>
                </c:pt>
                <c:pt idx="6">
                  <c:v>Veľký Krtíš</c:v>
                </c:pt>
                <c:pt idx="7">
                  <c:v>Poltár</c:v>
                </c:pt>
                <c:pt idx="8">
                  <c:v>Revúca</c:v>
                </c:pt>
                <c:pt idx="9">
                  <c:v>Rimavská Sobota</c:v>
                </c:pt>
                <c:pt idx="10">
                  <c:v>Zvolen</c:v>
                </c:pt>
                <c:pt idx="11">
                  <c:v>Žarnovica</c:v>
                </c:pt>
                <c:pt idx="12">
                  <c:v>Žiar nad Hronom </c:v>
                </c:pt>
              </c:strCache>
            </c:strRef>
          </c:cat>
          <c:val>
            <c:numRef>
              <c:f>Hárok2!$C$121:$C$133</c:f>
              <c:numCache>
                <c:formatCode>General</c:formatCode>
                <c:ptCount val="13"/>
                <c:pt idx="0">
                  <c:v>111242</c:v>
                </c:pt>
                <c:pt idx="1">
                  <c:v>16595</c:v>
                </c:pt>
                <c:pt idx="2">
                  <c:v>64196</c:v>
                </c:pt>
                <c:pt idx="3">
                  <c:v>32896</c:v>
                </c:pt>
                <c:pt idx="4">
                  <c:v>22927</c:v>
                </c:pt>
                <c:pt idx="5">
                  <c:v>74861</c:v>
                </c:pt>
                <c:pt idx="6">
                  <c:v>45562</c:v>
                </c:pt>
                <c:pt idx="7">
                  <c:v>22545</c:v>
                </c:pt>
                <c:pt idx="8">
                  <c:v>40400</c:v>
                </c:pt>
                <c:pt idx="9">
                  <c:v>84886</c:v>
                </c:pt>
                <c:pt idx="10">
                  <c:v>69077</c:v>
                </c:pt>
                <c:pt idx="11">
                  <c:v>27084</c:v>
                </c:pt>
                <c:pt idx="12">
                  <c:v>48289</c:v>
                </c:pt>
              </c:numCache>
            </c:numRef>
          </c:val>
        </c:ser>
        <c:ser>
          <c:idx val="1"/>
          <c:order val="1"/>
          <c:tx>
            <c:strRef>
              <c:f>Hárok2!$D$120</c:f>
              <c:strCache>
                <c:ptCount val="1"/>
                <c:pt idx="0">
                  <c:v>Z toho 50+</c:v>
                </c:pt>
              </c:strCache>
            </c:strRef>
          </c:tx>
          <c:spPr>
            <a:solidFill>
              <a:schemeClr val="accent2"/>
            </a:solidFill>
            <a:ln>
              <a:noFill/>
            </a:ln>
            <a:effectLst/>
          </c:spPr>
          <c:invertIfNegative val="0"/>
          <c:cat>
            <c:strRef>
              <c:f>Hárok2!$B$121:$B$133</c:f>
              <c:strCache>
                <c:ptCount val="13"/>
                <c:pt idx="0">
                  <c:v>Banská Bystrica</c:v>
                </c:pt>
                <c:pt idx="1">
                  <c:v>Banská Štiavnica</c:v>
                </c:pt>
                <c:pt idx="2">
                  <c:v>Brezno</c:v>
                </c:pt>
                <c:pt idx="3">
                  <c:v>Detva</c:v>
                </c:pt>
                <c:pt idx="4">
                  <c:v>Krupina</c:v>
                </c:pt>
                <c:pt idx="5">
                  <c:v>Lučenec</c:v>
                </c:pt>
                <c:pt idx="6">
                  <c:v>Veľký Krtíš</c:v>
                </c:pt>
                <c:pt idx="7">
                  <c:v>Poltár</c:v>
                </c:pt>
                <c:pt idx="8">
                  <c:v>Revúca</c:v>
                </c:pt>
                <c:pt idx="9">
                  <c:v>Rimavská Sobota</c:v>
                </c:pt>
                <c:pt idx="10">
                  <c:v>Zvolen</c:v>
                </c:pt>
                <c:pt idx="11">
                  <c:v>Žarnovica</c:v>
                </c:pt>
                <c:pt idx="12">
                  <c:v>Žiar nad Hronom </c:v>
                </c:pt>
              </c:strCache>
            </c:strRef>
          </c:cat>
          <c:val>
            <c:numRef>
              <c:f>Hárok2!$D$121:$D$133</c:f>
              <c:numCache>
                <c:formatCode>General</c:formatCode>
                <c:ptCount val="13"/>
                <c:pt idx="0">
                  <c:v>24950</c:v>
                </c:pt>
                <c:pt idx="1">
                  <c:v>3453</c:v>
                </c:pt>
                <c:pt idx="2">
                  <c:v>13109</c:v>
                </c:pt>
                <c:pt idx="3">
                  <c:v>6755</c:v>
                </c:pt>
                <c:pt idx="4">
                  <c:v>4321</c:v>
                </c:pt>
                <c:pt idx="5">
                  <c:v>13376</c:v>
                </c:pt>
                <c:pt idx="6">
                  <c:v>9222</c:v>
                </c:pt>
                <c:pt idx="7">
                  <c:v>4662</c:v>
                </c:pt>
                <c:pt idx="8">
                  <c:v>7931</c:v>
                </c:pt>
                <c:pt idx="9">
                  <c:v>16161</c:v>
                </c:pt>
                <c:pt idx="10">
                  <c:v>14533</c:v>
                </c:pt>
                <c:pt idx="11">
                  <c:v>5609</c:v>
                </c:pt>
                <c:pt idx="12">
                  <c:v>10119</c:v>
                </c:pt>
              </c:numCache>
            </c:numRef>
          </c:val>
        </c:ser>
        <c:dLbls>
          <c:showLegendKey val="0"/>
          <c:showVal val="0"/>
          <c:showCatName val="0"/>
          <c:showSerName val="0"/>
          <c:showPercent val="0"/>
          <c:showBubbleSize val="0"/>
        </c:dLbls>
        <c:gapWidth val="219"/>
        <c:overlap val="-27"/>
        <c:axId val="649487008"/>
        <c:axId val="649486616"/>
      </c:barChart>
      <c:catAx>
        <c:axId val="64948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49486616"/>
        <c:crosses val="autoZero"/>
        <c:auto val="1"/>
        <c:lblAlgn val="ctr"/>
        <c:lblOffset val="100"/>
        <c:noMultiLvlLbl val="0"/>
      </c:catAx>
      <c:valAx>
        <c:axId val="649486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49487008"/>
        <c:crosses val="autoZero"/>
        <c:crossBetween val="between"/>
      </c:valAx>
      <c:spPr>
        <a:noFill/>
        <a:ln>
          <a:solidFill>
            <a:schemeClr val="accent1"/>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Okresy do ktorých zasahujú MAS projektu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Hárok2!$L$112</c:f>
              <c:strCache>
                <c:ptCount val="1"/>
                <c:pt idx="0">
                  <c:v>Počet obyvateľov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Hárok2!$K$113:$K$116</c:f>
              <c:strCache>
                <c:ptCount val="4"/>
                <c:pt idx="0">
                  <c:v>Krupina</c:v>
                </c:pt>
                <c:pt idx="1">
                  <c:v>Veľký Krtíš</c:v>
                </c:pt>
                <c:pt idx="2">
                  <c:v>Rimavská Sobota</c:v>
                </c:pt>
                <c:pt idx="3">
                  <c:v>Zvolen</c:v>
                </c:pt>
              </c:strCache>
            </c:strRef>
          </c:cat>
          <c:val>
            <c:numRef>
              <c:f>Hárok2!$L$113:$L$116</c:f>
              <c:numCache>
                <c:formatCode>General</c:formatCode>
                <c:ptCount val="4"/>
                <c:pt idx="0">
                  <c:v>22927</c:v>
                </c:pt>
                <c:pt idx="1">
                  <c:v>45562</c:v>
                </c:pt>
                <c:pt idx="2">
                  <c:v>84886</c:v>
                </c:pt>
                <c:pt idx="3">
                  <c:v>69077</c:v>
                </c:pt>
              </c:numCache>
            </c:numRef>
          </c:val>
        </c:ser>
        <c:ser>
          <c:idx val="1"/>
          <c:order val="1"/>
          <c:tx>
            <c:strRef>
              <c:f>Hárok2!$M$112</c:f>
              <c:strCache>
                <c:ptCount val="1"/>
                <c:pt idx="0">
                  <c:v>Spolu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Hárok2!$K$113:$K$116</c:f>
              <c:strCache>
                <c:ptCount val="4"/>
                <c:pt idx="0">
                  <c:v>Krupina</c:v>
                </c:pt>
                <c:pt idx="1">
                  <c:v>Veľký Krtíš</c:v>
                </c:pt>
                <c:pt idx="2">
                  <c:v>Rimavská Sobota</c:v>
                </c:pt>
                <c:pt idx="3">
                  <c:v>Zvolen</c:v>
                </c:pt>
              </c:strCache>
            </c:strRef>
          </c:cat>
          <c:val>
            <c:numRef>
              <c:f>Hárok2!$M$113:$M$116</c:f>
              <c:numCache>
                <c:formatCode>General</c:formatCode>
                <c:ptCount val="4"/>
                <c:pt idx="0">
                  <c:v>4321</c:v>
                </c:pt>
                <c:pt idx="1">
                  <c:v>9222</c:v>
                </c:pt>
                <c:pt idx="2">
                  <c:v>16161</c:v>
                </c:pt>
                <c:pt idx="3">
                  <c:v>14533</c:v>
                </c:pt>
              </c:numCache>
            </c:numRef>
          </c:val>
        </c:ser>
        <c:dLbls>
          <c:dLblPos val="outEnd"/>
          <c:showLegendKey val="0"/>
          <c:showVal val="1"/>
          <c:showCatName val="0"/>
          <c:showSerName val="0"/>
          <c:showPercent val="0"/>
          <c:showBubbleSize val="0"/>
        </c:dLbls>
        <c:gapWidth val="150"/>
        <c:axId val="662452744"/>
        <c:axId val="320803024"/>
      </c:barChart>
      <c:catAx>
        <c:axId val="66245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20803024"/>
        <c:crosses val="autoZero"/>
        <c:auto val="1"/>
        <c:lblAlgn val="ctr"/>
        <c:lblOffset val="100"/>
        <c:noMultiLvlLbl val="0"/>
      </c:catAx>
      <c:valAx>
        <c:axId val="32080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662452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k-SK" sz="1000"/>
              <a:t>Podiel obyvateľov NRO</a:t>
            </a:r>
            <a:r>
              <a:rPr lang="sk-SK" sz="1000" baseline="0"/>
              <a:t> v BBSK</a:t>
            </a:r>
            <a:endParaRPr lang="en-US" sz="1000"/>
          </a:p>
        </c:rich>
      </c:tx>
      <c:layout>
        <c:manualLayout>
          <c:xMode val="edge"/>
          <c:yMode val="edge"/>
          <c:x val="3.2271790990259964E-4"/>
          <c:y val="0"/>
        </c:manualLayout>
      </c:layout>
      <c:overlay val="0"/>
    </c:title>
    <c:autoTitleDeleted val="0"/>
    <c:plotArea>
      <c:layout/>
      <c:pieChart>
        <c:varyColors val="1"/>
        <c:ser>
          <c:idx val="0"/>
          <c:order val="0"/>
          <c:tx>
            <c:strRef>
              <c:f>List2!$D$5</c:f>
              <c:strCache>
                <c:ptCount val="1"/>
                <c:pt idx="0">
                  <c:v>počet obyvateľov</c:v>
                </c:pt>
              </c:strCache>
            </c:strRef>
          </c:tx>
          <c:dLbls>
            <c:dLbl>
              <c:idx val="2"/>
              <c:layout>
                <c:manualLayout>
                  <c:x val="-5.3310588687174509E-3"/>
                  <c:y val="4.6345354606857708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2.2831040350725435E-2"/>
                  <c:y val="0"/>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a:lstStyle/>
              <a:p>
                <a:pPr>
                  <a:defRPr sz="900"/>
                </a:pPr>
                <a:endParaRPr lang="sk-SK"/>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List2!$C$6:$C$11</c:f>
              <c:strCache>
                <c:ptCount val="6"/>
                <c:pt idx="0">
                  <c:v>Lučenec</c:v>
                </c:pt>
                <c:pt idx="1">
                  <c:v>Poltár</c:v>
                </c:pt>
                <c:pt idx="2">
                  <c:v>Revúca</c:v>
                </c:pt>
                <c:pt idx="3">
                  <c:v>Rimavská Sobota</c:v>
                </c:pt>
                <c:pt idx="4">
                  <c:v>Veľký Krtíš</c:v>
                </c:pt>
                <c:pt idx="5">
                  <c:v>ostatné okresy v BBSK</c:v>
                </c:pt>
              </c:strCache>
            </c:strRef>
          </c:cat>
          <c:val>
            <c:numRef>
              <c:f>List2!$D$6:$D$11</c:f>
              <c:numCache>
                <c:formatCode>#,##0</c:formatCode>
                <c:ptCount val="6"/>
                <c:pt idx="0">
                  <c:v>73849</c:v>
                </c:pt>
                <c:pt idx="1">
                  <c:v>21644</c:v>
                </c:pt>
                <c:pt idx="2">
                  <c:v>39971</c:v>
                </c:pt>
                <c:pt idx="3">
                  <c:v>84331</c:v>
                </c:pt>
                <c:pt idx="4">
                  <c:v>43992</c:v>
                </c:pt>
                <c:pt idx="5">
                  <c:v>388479</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k-SK" sz="1000"/>
              <a:t>Podiel obyvateľov </a:t>
            </a:r>
            <a:r>
              <a:rPr lang="sk-SK" sz="1000" baseline="0"/>
              <a:t> v NRO</a:t>
            </a:r>
            <a:endParaRPr lang="sk-SK" sz="1000"/>
          </a:p>
        </c:rich>
      </c:tx>
      <c:layout>
        <c:manualLayout>
          <c:xMode val="edge"/>
          <c:yMode val="edge"/>
          <c:x val="0.23323768531802971"/>
          <c:y val="0"/>
        </c:manualLayout>
      </c:layout>
      <c:overlay val="0"/>
    </c:title>
    <c:autoTitleDeleted val="0"/>
    <c:plotArea>
      <c:layout/>
      <c:pieChart>
        <c:varyColors val="1"/>
        <c:ser>
          <c:idx val="0"/>
          <c:order val="0"/>
          <c:tx>
            <c:strRef>
              <c:f>List2!$D$5</c:f>
              <c:strCache>
                <c:ptCount val="1"/>
                <c:pt idx="0">
                  <c:v>počet obyvateľov</c:v>
                </c:pt>
              </c:strCache>
            </c:strRef>
          </c:tx>
          <c:dLbls>
            <c:spPr>
              <a:noFill/>
              <a:ln>
                <a:noFill/>
              </a:ln>
              <a:effectLst/>
            </c:spPr>
            <c:txPr>
              <a:bodyPr/>
              <a:lstStyle/>
              <a:p>
                <a:pPr>
                  <a:defRPr sz="900"/>
                </a:pPr>
                <a:endParaRPr lang="sk-SK"/>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List2!$C$6:$C$10</c:f>
              <c:strCache>
                <c:ptCount val="5"/>
                <c:pt idx="0">
                  <c:v>Lučenec</c:v>
                </c:pt>
                <c:pt idx="1">
                  <c:v>Poltár</c:v>
                </c:pt>
                <c:pt idx="2">
                  <c:v>Revúca</c:v>
                </c:pt>
                <c:pt idx="3">
                  <c:v>Rimavská Sobota</c:v>
                </c:pt>
                <c:pt idx="4">
                  <c:v>Veľký Krtíš</c:v>
                </c:pt>
              </c:strCache>
            </c:strRef>
          </c:cat>
          <c:val>
            <c:numRef>
              <c:f>List2!$D$6:$D$10</c:f>
              <c:numCache>
                <c:formatCode>#,##0</c:formatCode>
                <c:ptCount val="5"/>
                <c:pt idx="0">
                  <c:v>73849</c:v>
                </c:pt>
                <c:pt idx="1">
                  <c:v>21644</c:v>
                </c:pt>
                <c:pt idx="2">
                  <c:v>39971</c:v>
                </c:pt>
                <c:pt idx="3">
                  <c:v>84331</c:v>
                </c:pt>
                <c:pt idx="4">
                  <c:v>43992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sk-SK" sz="1100"/>
              <a:t>Regionálny príspevok v tis. EUR</a:t>
            </a:r>
            <a:r>
              <a:rPr lang="sk-SK" sz="1100" baseline="0"/>
              <a:t> v rokoch 2016  </a:t>
            </a:r>
            <a:r>
              <a:rPr lang="sk-SK" sz="1100" b="1" i="0" u="none" strike="noStrike" baseline="0"/>
              <a:t>– </a:t>
            </a:r>
            <a:r>
              <a:rPr lang="sk-SK" sz="1100" baseline="0"/>
              <a:t>2020</a:t>
            </a:r>
            <a:endParaRPr lang="sk-SK" sz="1100"/>
          </a:p>
        </c:rich>
      </c:tx>
      <c:layout/>
      <c:overlay val="0"/>
    </c:title>
    <c:autoTitleDeleted val="0"/>
    <c:plotArea>
      <c:layout/>
      <c:barChart>
        <c:barDir val="col"/>
        <c:grouping val="clustered"/>
        <c:varyColors val="0"/>
        <c:ser>
          <c:idx val="0"/>
          <c:order val="0"/>
          <c:tx>
            <c:strRef>
              <c:f>List1!$B$4</c:f>
              <c:strCache>
                <c:ptCount val="1"/>
                <c:pt idx="0">
                  <c:v>Lučenec</c:v>
                </c:pt>
              </c:strCache>
            </c:strRef>
          </c:tx>
          <c:invertIfNegative val="0"/>
          <c:cat>
            <c:strRef>
              <c:f>List1!$C$2:$G$3</c:f>
              <c:strCache>
                <c:ptCount val="5"/>
                <c:pt idx="0">
                  <c:v>2016</c:v>
                </c:pt>
                <c:pt idx="1">
                  <c:v>2017</c:v>
                </c:pt>
                <c:pt idx="2">
                  <c:v>2018</c:v>
                </c:pt>
                <c:pt idx="3">
                  <c:v>2019-2020</c:v>
                </c:pt>
                <c:pt idx="4">
                  <c:v>spolu</c:v>
                </c:pt>
              </c:strCache>
            </c:strRef>
          </c:cat>
          <c:val>
            <c:numRef>
              <c:f>List1!$C$4:$G$4</c:f>
              <c:numCache>
                <c:formatCode>#,##0</c:formatCode>
                <c:ptCount val="5"/>
                <c:pt idx="0">
                  <c:v>900</c:v>
                </c:pt>
                <c:pt idx="1">
                  <c:v>860</c:v>
                </c:pt>
                <c:pt idx="2">
                  <c:v>860</c:v>
                </c:pt>
                <c:pt idx="3">
                  <c:v>1675</c:v>
                </c:pt>
                <c:pt idx="4">
                  <c:v>4295</c:v>
                </c:pt>
              </c:numCache>
            </c:numRef>
          </c:val>
        </c:ser>
        <c:ser>
          <c:idx val="1"/>
          <c:order val="1"/>
          <c:tx>
            <c:strRef>
              <c:f>List1!$B$5</c:f>
              <c:strCache>
                <c:ptCount val="1"/>
                <c:pt idx="0">
                  <c:v>Poltár</c:v>
                </c:pt>
              </c:strCache>
            </c:strRef>
          </c:tx>
          <c:invertIfNegative val="0"/>
          <c:cat>
            <c:strRef>
              <c:f>List1!$C$2:$G$3</c:f>
              <c:strCache>
                <c:ptCount val="5"/>
                <c:pt idx="0">
                  <c:v>2016</c:v>
                </c:pt>
                <c:pt idx="1">
                  <c:v>2017</c:v>
                </c:pt>
                <c:pt idx="2">
                  <c:v>2018</c:v>
                </c:pt>
                <c:pt idx="3">
                  <c:v>2019-2020</c:v>
                </c:pt>
                <c:pt idx="4">
                  <c:v>spolu</c:v>
                </c:pt>
              </c:strCache>
            </c:strRef>
          </c:cat>
          <c:val>
            <c:numRef>
              <c:f>List1!$C$5:$G$5</c:f>
              <c:numCache>
                <c:formatCode>#,##0</c:formatCode>
                <c:ptCount val="5"/>
                <c:pt idx="0">
                  <c:v>400</c:v>
                </c:pt>
                <c:pt idx="1">
                  <c:v>550</c:v>
                </c:pt>
                <c:pt idx="2">
                  <c:v>550</c:v>
                </c:pt>
                <c:pt idx="3">
                  <c:v>1125</c:v>
                </c:pt>
                <c:pt idx="4">
                  <c:v>2625</c:v>
                </c:pt>
              </c:numCache>
            </c:numRef>
          </c:val>
        </c:ser>
        <c:ser>
          <c:idx val="2"/>
          <c:order val="2"/>
          <c:tx>
            <c:strRef>
              <c:f>List1!$B$6</c:f>
              <c:strCache>
                <c:ptCount val="1"/>
                <c:pt idx="0">
                  <c:v>Revúca</c:v>
                </c:pt>
              </c:strCache>
            </c:strRef>
          </c:tx>
          <c:invertIfNegative val="0"/>
          <c:cat>
            <c:strRef>
              <c:f>List1!$C$2:$G$3</c:f>
              <c:strCache>
                <c:ptCount val="5"/>
                <c:pt idx="0">
                  <c:v>2016</c:v>
                </c:pt>
                <c:pt idx="1">
                  <c:v>2017</c:v>
                </c:pt>
                <c:pt idx="2">
                  <c:v>2018</c:v>
                </c:pt>
                <c:pt idx="3">
                  <c:v>2019-2020</c:v>
                </c:pt>
                <c:pt idx="4">
                  <c:v>spolu</c:v>
                </c:pt>
              </c:strCache>
            </c:strRef>
          </c:cat>
          <c:val>
            <c:numRef>
              <c:f>List1!$C$6:$G$6</c:f>
              <c:numCache>
                <c:formatCode>#,##0</c:formatCode>
                <c:ptCount val="5"/>
                <c:pt idx="0">
                  <c:v>500</c:v>
                </c:pt>
                <c:pt idx="1">
                  <c:v>760</c:v>
                </c:pt>
                <c:pt idx="2">
                  <c:v>850</c:v>
                </c:pt>
                <c:pt idx="3">
                  <c:v>1725</c:v>
                </c:pt>
                <c:pt idx="4">
                  <c:v>3835</c:v>
                </c:pt>
              </c:numCache>
            </c:numRef>
          </c:val>
        </c:ser>
        <c:ser>
          <c:idx val="3"/>
          <c:order val="3"/>
          <c:tx>
            <c:strRef>
              <c:f>List1!$B$7</c:f>
              <c:strCache>
                <c:ptCount val="1"/>
                <c:pt idx="0">
                  <c:v>Rimavská Sobota</c:v>
                </c:pt>
              </c:strCache>
            </c:strRef>
          </c:tx>
          <c:invertIfNegative val="0"/>
          <c:cat>
            <c:strRef>
              <c:f>List1!$C$2:$G$3</c:f>
              <c:strCache>
                <c:ptCount val="5"/>
                <c:pt idx="0">
                  <c:v>2016</c:v>
                </c:pt>
                <c:pt idx="1">
                  <c:v>2017</c:v>
                </c:pt>
                <c:pt idx="2">
                  <c:v>2018</c:v>
                </c:pt>
                <c:pt idx="3">
                  <c:v>2019-2020</c:v>
                </c:pt>
                <c:pt idx="4">
                  <c:v>spolu</c:v>
                </c:pt>
              </c:strCache>
            </c:strRef>
          </c:cat>
          <c:val>
            <c:numRef>
              <c:f>List1!$C$7:$G$7</c:f>
              <c:numCache>
                <c:formatCode>#,##0</c:formatCode>
                <c:ptCount val="5"/>
                <c:pt idx="0">
                  <c:v>1300</c:v>
                </c:pt>
                <c:pt idx="1">
                  <c:v>1200</c:v>
                </c:pt>
                <c:pt idx="2">
                  <c:v>1210</c:v>
                </c:pt>
                <c:pt idx="3">
                  <c:v>2645</c:v>
                </c:pt>
                <c:pt idx="4">
                  <c:v>6355</c:v>
                </c:pt>
              </c:numCache>
            </c:numRef>
          </c:val>
        </c:ser>
        <c:ser>
          <c:idx val="4"/>
          <c:order val="4"/>
          <c:tx>
            <c:strRef>
              <c:f>List1!$B$8</c:f>
              <c:strCache>
                <c:ptCount val="1"/>
                <c:pt idx="0">
                  <c:v>Veľký Krtíš</c:v>
                </c:pt>
              </c:strCache>
            </c:strRef>
          </c:tx>
          <c:invertIfNegative val="0"/>
          <c:cat>
            <c:strRef>
              <c:f>List1!$C$2:$G$3</c:f>
              <c:strCache>
                <c:ptCount val="5"/>
                <c:pt idx="0">
                  <c:v>2016</c:v>
                </c:pt>
                <c:pt idx="1">
                  <c:v>2017</c:v>
                </c:pt>
                <c:pt idx="2">
                  <c:v>2018</c:v>
                </c:pt>
                <c:pt idx="3">
                  <c:v>2019-2020</c:v>
                </c:pt>
                <c:pt idx="4">
                  <c:v>spolu</c:v>
                </c:pt>
              </c:strCache>
            </c:strRef>
          </c:cat>
          <c:val>
            <c:numRef>
              <c:f>List1!$C$8:$G$8</c:f>
              <c:numCache>
                <c:formatCode>#,##0</c:formatCode>
                <c:ptCount val="5"/>
                <c:pt idx="0">
                  <c:v>500</c:v>
                </c:pt>
                <c:pt idx="1">
                  <c:v>700</c:v>
                </c:pt>
                <c:pt idx="2">
                  <c:v>750</c:v>
                </c:pt>
                <c:pt idx="3">
                  <c:v>1380</c:v>
                </c:pt>
                <c:pt idx="4">
                  <c:v>3330</c:v>
                </c:pt>
              </c:numCache>
            </c:numRef>
          </c:val>
        </c:ser>
        <c:dLbls>
          <c:showLegendKey val="0"/>
          <c:showVal val="0"/>
          <c:showCatName val="0"/>
          <c:showSerName val="0"/>
          <c:showPercent val="0"/>
          <c:showBubbleSize val="0"/>
        </c:dLbls>
        <c:gapWidth val="75"/>
        <c:overlap val="-25"/>
        <c:axId val="649485832"/>
        <c:axId val="649485048"/>
      </c:barChart>
      <c:catAx>
        <c:axId val="649485832"/>
        <c:scaling>
          <c:orientation val="minMax"/>
        </c:scaling>
        <c:delete val="0"/>
        <c:axPos val="b"/>
        <c:numFmt formatCode="General" sourceLinked="0"/>
        <c:majorTickMark val="none"/>
        <c:minorTickMark val="none"/>
        <c:tickLblPos val="nextTo"/>
        <c:txPr>
          <a:bodyPr/>
          <a:lstStyle/>
          <a:p>
            <a:pPr>
              <a:defRPr sz="1100"/>
            </a:pPr>
            <a:endParaRPr lang="sk-SK"/>
          </a:p>
        </c:txPr>
        <c:crossAx val="649485048"/>
        <c:crosses val="autoZero"/>
        <c:auto val="1"/>
        <c:lblAlgn val="ctr"/>
        <c:lblOffset val="100"/>
        <c:noMultiLvlLbl val="0"/>
      </c:catAx>
      <c:valAx>
        <c:axId val="649485048"/>
        <c:scaling>
          <c:orientation val="minMax"/>
        </c:scaling>
        <c:delete val="0"/>
        <c:axPos val="l"/>
        <c:majorGridlines/>
        <c:numFmt formatCode="#,##0" sourceLinked="1"/>
        <c:majorTickMark val="none"/>
        <c:minorTickMark val="none"/>
        <c:tickLblPos val="nextTo"/>
        <c:spPr>
          <a:ln w="9525">
            <a:noFill/>
          </a:ln>
        </c:spPr>
        <c:txPr>
          <a:bodyPr/>
          <a:lstStyle/>
          <a:p>
            <a:pPr>
              <a:defRPr sz="1100"/>
            </a:pPr>
            <a:endParaRPr lang="sk-SK"/>
          </a:p>
        </c:txPr>
        <c:crossAx val="649485832"/>
        <c:crosses val="autoZero"/>
        <c:crossBetween val="between"/>
      </c:valAx>
    </c:plotArea>
    <c:legend>
      <c:legendPos val="b"/>
      <c:layout/>
      <c:overlay val="0"/>
      <c:txPr>
        <a:bodyPr/>
        <a:lstStyle/>
        <a:p>
          <a:pPr>
            <a:defRPr sz="1100"/>
          </a:pPr>
          <a:endParaRPr lang="sk-SK"/>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k-SK" sz="1100"/>
              <a:t>O</a:t>
            </a:r>
            <a:r>
              <a:rPr lang="en-US" sz="1100"/>
              <a:t>dhad investíci</a:t>
            </a:r>
            <a:r>
              <a:rPr lang="sk-SK" sz="1100"/>
              <a:t>í</a:t>
            </a:r>
            <a:r>
              <a:rPr lang="sk-SK" sz="1100" baseline="0"/>
              <a:t> </a:t>
            </a:r>
            <a:r>
              <a:rPr lang="en-US" sz="1100"/>
              <a:t>v mil.  </a:t>
            </a:r>
            <a:r>
              <a:rPr lang="sk-SK" sz="1100"/>
              <a:t>EUR </a:t>
            </a:r>
            <a:r>
              <a:rPr lang="en-US" sz="1100"/>
              <a:t>v rokoch 2016</a:t>
            </a:r>
            <a:r>
              <a:rPr lang="sk-SK" sz="1100"/>
              <a:t> </a:t>
            </a:r>
            <a:r>
              <a:rPr lang="en-US" sz="1100"/>
              <a:t>-</a:t>
            </a:r>
            <a:r>
              <a:rPr lang="sk-SK" sz="1100"/>
              <a:t> </a:t>
            </a:r>
            <a:r>
              <a:rPr lang="en-US" sz="1100"/>
              <a:t>2020</a:t>
            </a:r>
          </a:p>
        </c:rich>
      </c:tx>
      <c:layout>
        <c:manualLayout>
          <c:xMode val="edge"/>
          <c:yMode val="edge"/>
          <c:x val="0.1337873756116327"/>
          <c:y val="2.7751202096854777E-2"/>
        </c:manualLayout>
      </c:layout>
      <c:overlay val="0"/>
    </c:title>
    <c:autoTitleDeleted val="0"/>
    <c:plotArea>
      <c:layout/>
      <c:barChart>
        <c:barDir val="col"/>
        <c:grouping val="clustered"/>
        <c:varyColors val="0"/>
        <c:ser>
          <c:idx val="0"/>
          <c:order val="0"/>
          <c:tx>
            <c:strRef>
              <c:f>List1!$K$15</c:f>
              <c:strCache>
                <c:ptCount val="1"/>
                <c:pt idx="0">
                  <c:v>odhad investície 
v mil. € v rokoch 2016-2020</c:v>
                </c:pt>
              </c:strCache>
            </c:strRef>
          </c:tx>
          <c:invertIfNegative val="0"/>
          <c:cat>
            <c:strRef>
              <c:f>List1!$J$16:$J$20</c:f>
              <c:strCache>
                <c:ptCount val="5"/>
                <c:pt idx="0">
                  <c:v>Lučenec</c:v>
                </c:pt>
                <c:pt idx="1">
                  <c:v>Poltár</c:v>
                </c:pt>
                <c:pt idx="2">
                  <c:v>Revúca</c:v>
                </c:pt>
                <c:pt idx="3">
                  <c:v>Rimavská Sobota</c:v>
                </c:pt>
                <c:pt idx="4">
                  <c:v>Veľký Krtíš</c:v>
                </c:pt>
              </c:strCache>
            </c:strRef>
          </c:cat>
          <c:val>
            <c:numRef>
              <c:f>List1!$K$16:$K$20</c:f>
              <c:numCache>
                <c:formatCode>#,##0</c:formatCode>
                <c:ptCount val="5"/>
                <c:pt idx="0">
                  <c:v>147</c:v>
                </c:pt>
                <c:pt idx="1">
                  <c:v>98</c:v>
                </c:pt>
                <c:pt idx="2">
                  <c:v>61</c:v>
                </c:pt>
                <c:pt idx="3">
                  <c:v>157</c:v>
                </c:pt>
                <c:pt idx="4">
                  <c:v>75</c:v>
                </c:pt>
              </c:numCache>
            </c:numRef>
          </c:val>
        </c:ser>
        <c:dLbls>
          <c:showLegendKey val="0"/>
          <c:showVal val="0"/>
          <c:showCatName val="0"/>
          <c:showSerName val="0"/>
          <c:showPercent val="0"/>
          <c:showBubbleSize val="0"/>
        </c:dLbls>
        <c:gapWidth val="150"/>
        <c:axId val="445290328"/>
        <c:axId val="445289936"/>
      </c:barChart>
      <c:catAx>
        <c:axId val="445290328"/>
        <c:scaling>
          <c:orientation val="minMax"/>
        </c:scaling>
        <c:delete val="0"/>
        <c:axPos val="b"/>
        <c:numFmt formatCode="General" sourceLinked="0"/>
        <c:majorTickMark val="out"/>
        <c:minorTickMark val="none"/>
        <c:tickLblPos val="nextTo"/>
        <c:txPr>
          <a:bodyPr/>
          <a:lstStyle/>
          <a:p>
            <a:pPr>
              <a:defRPr sz="1100"/>
            </a:pPr>
            <a:endParaRPr lang="sk-SK"/>
          </a:p>
        </c:txPr>
        <c:crossAx val="445289936"/>
        <c:crosses val="autoZero"/>
        <c:auto val="1"/>
        <c:lblAlgn val="ctr"/>
        <c:lblOffset val="100"/>
        <c:noMultiLvlLbl val="0"/>
      </c:catAx>
      <c:valAx>
        <c:axId val="445289936"/>
        <c:scaling>
          <c:orientation val="minMax"/>
        </c:scaling>
        <c:delete val="0"/>
        <c:axPos val="l"/>
        <c:majorGridlines/>
        <c:numFmt formatCode="#,##0" sourceLinked="1"/>
        <c:majorTickMark val="out"/>
        <c:minorTickMark val="none"/>
        <c:tickLblPos val="nextTo"/>
        <c:txPr>
          <a:bodyPr/>
          <a:lstStyle/>
          <a:p>
            <a:pPr>
              <a:defRPr sz="1100"/>
            </a:pPr>
            <a:endParaRPr lang="sk-SK"/>
          </a:p>
        </c:txPr>
        <c:crossAx val="44529032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k-SK" sz="1100"/>
              <a:t>Plánované vytvorenie pracovných miest do roku 2020</a:t>
            </a:r>
          </a:p>
        </c:rich>
      </c:tx>
      <c:layout/>
      <c:overlay val="0"/>
    </c:title>
    <c:autoTitleDeleted val="0"/>
    <c:plotArea>
      <c:layout/>
      <c:barChart>
        <c:barDir val="col"/>
        <c:grouping val="clustered"/>
        <c:varyColors val="0"/>
        <c:ser>
          <c:idx val="0"/>
          <c:order val="0"/>
          <c:tx>
            <c:strRef>
              <c:f>List1!$L$15</c:f>
              <c:strCache>
                <c:ptCount val="1"/>
                <c:pt idx="0">
                  <c:v>plánované vytvorenie pracovných miest do roku 2020</c:v>
                </c:pt>
              </c:strCache>
            </c:strRef>
          </c:tx>
          <c:invertIfNegative val="0"/>
          <c:cat>
            <c:strRef>
              <c:f>List1!$J$16:$J$20</c:f>
              <c:strCache>
                <c:ptCount val="5"/>
                <c:pt idx="0">
                  <c:v>Lučenec</c:v>
                </c:pt>
                <c:pt idx="1">
                  <c:v>Poltár</c:v>
                </c:pt>
                <c:pt idx="2">
                  <c:v>Revúca</c:v>
                </c:pt>
                <c:pt idx="3">
                  <c:v>Rimavská Sobota</c:v>
                </c:pt>
                <c:pt idx="4">
                  <c:v>Veľký Krtíš</c:v>
                </c:pt>
              </c:strCache>
            </c:strRef>
          </c:cat>
          <c:val>
            <c:numRef>
              <c:f>List1!$L$16:$L$20</c:f>
              <c:numCache>
                <c:formatCode>#,##0</c:formatCode>
                <c:ptCount val="5"/>
                <c:pt idx="0">
                  <c:v>1440</c:v>
                </c:pt>
                <c:pt idx="1">
                  <c:v>750</c:v>
                </c:pt>
                <c:pt idx="2">
                  <c:v>1100</c:v>
                </c:pt>
                <c:pt idx="3">
                  <c:v>2300</c:v>
                </c:pt>
                <c:pt idx="4">
                  <c:v>822</c:v>
                </c:pt>
              </c:numCache>
            </c:numRef>
          </c:val>
        </c:ser>
        <c:dLbls>
          <c:showLegendKey val="0"/>
          <c:showVal val="0"/>
          <c:showCatName val="0"/>
          <c:showSerName val="0"/>
          <c:showPercent val="0"/>
          <c:showBubbleSize val="0"/>
        </c:dLbls>
        <c:gapWidth val="150"/>
        <c:axId val="314663744"/>
        <c:axId val="314664136"/>
      </c:barChart>
      <c:catAx>
        <c:axId val="314663744"/>
        <c:scaling>
          <c:orientation val="minMax"/>
        </c:scaling>
        <c:delete val="0"/>
        <c:axPos val="b"/>
        <c:numFmt formatCode="General" sourceLinked="0"/>
        <c:majorTickMark val="out"/>
        <c:minorTickMark val="none"/>
        <c:tickLblPos val="nextTo"/>
        <c:txPr>
          <a:bodyPr/>
          <a:lstStyle/>
          <a:p>
            <a:pPr>
              <a:defRPr sz="1100"/>
            </a:pPr>
            <a:endParaRPr lang="sk-SK"/>
          </a:p>
        </c:txPr>
        <c:crossAx val="314664136"/>
        <c:crosses val="autoZero"/>
        <c:auto val="1"/>
        <c:lblAlgn val="ctr"/>
        <c:lblOffset val="100"/>
        <c:noMultiLvlLbl val="0"/>
      </c:catAx>
      <c:valAx>
        <c:axId val="314664136"/>
        <c:scaling>
          <c:orientation val="minMax"/>
        </c:scaling>
        <c:delete val="0"/>
        <c:axPos val="l"/>
        <c:majorGridlines/>
        <c:numFmt formatCode="#,##0" sourceLinked="1"/>
        <c:majorTickMark val="out"/>
        <c:minorTickMark val="none"/>
        <c:tickLblPos val="nextTo"/>
        <c:txPr>
          <a:bodyPr/>
          <a:lstStyle/>
          <a:p>
            <a:pPr>
              <a:defRPr sz="1100"/>
            </a:pPr>
            <a:endParaRPr lang="sk-SK"/>
          </a:p>
        </c:txPr>
        <c:crossAx val="314663744"/>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F0A96-5C28-495B-8C5D-762DC21D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7629</Words>
  <Characters>43489</Characters>
  <Application>Microsoft Office Word</Application>
  <DocSecurity>0</DocSecurity>
  <Lines>362</Lines>
  <Paragraphs>102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dc:creator>
  <cp:lastModifiedBy>uni</cp:lastModifiedBy>
  <cp:revision>3</cp:revision>
  <cp:lastPrinted>2019-02-28T08:02:00Z</cp:lastPrinted>
  <dcterms:created xsi:type="dcterms:W3CDTF">2019-04-05T10:06:00Z</dcterms:created>
  <dcterms:modified xsi:type="dcterms:W3CDTF">2019-04-05T10:22:00Z</dcterms:modified>
</cp:coreProperties>
</file>