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18" w:rsidRDefault="00D13A18" w:rsidP="006A2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041992" w:rsidRPr="00D13A18" w:rsidRDefault="00041992" w:rsidP="006A29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A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Tlačová správa</w:t>
      </w:r>
    </w:p>
    <w:p w:rsidR="00041992" w:rsidRDefault="00041992" w:rsidP="000419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D2D" w:rsidRPr="00D13A18" w:rsidRDefault="00924D2D" w:rsidP="0004199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46AD5" w:rsidRPr="00D46AD5" w:rsidRDefault="00D46AD5" w:rsidP="00D46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D4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O titul Dedina roka 2021 zabojuje</w:t>
      </w:r>
      <w:r w:rsidR="00924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historicky najvyšší</w:t>
      </w:r>
      <w:r w:rsidR="00EC1D66" w:rsidRPr="00D13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počet</w:t>
      </w:r>
      <w:r w:rsidR="00D06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slovenských</w:t>
      </w:r>
      <w:r w:rsidR="00EC1D66" w:rsidRPr="00D13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obcí</w:t>
      </w:r>
      <w:r w:rsidRPr="00D46A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 </w:t>
      </w:r>
    </w:p>
    <w:p w:rsidR="00EC1D66" w:rsidRDefault="00EC1D66" w:rsidP="00D46AD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73756" w:rsidRPr="00C73756" w:rsidRDefault="005C5C2C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>Banská Bystrica, 11</w:t>
      </w:r>
      <w:r w:rsidR="00C73756"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. máj 2021 </w:t>
      </w:r>
    </w:p>
    <w:p w:rsidR="00C73756" w:rsidRP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Súťaž Dedina roka má za sebou viac ako dvadsaťročnú tradíciu. Aktuálny, 11. ročník, priniesol viacero organizačných noviniek, čo sa stretlo s mimoriadnym záujmom. O titul Dedina roka 2021 bude súťažiť historicky najviac, až 29 slovenských dedín: </w:t>
      </w:r>
      <w:r w:rsidRPr="00C73756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sk-SK"/>
        </w:rPr>
        <w:t>Beckov, Blatnica, Budkovce, Buzica, Cigeľ, Dlhé Klčovo, Haláčovce, Halič, Hertník, Kapušany, Kladzany, Kláštor pod Znievom, Kocurany, Kolíňany, Lom nad Rimavicou, Ľubeľa, Lúčka, Priepasné, Pukanec, Radava, Sedliská, Štiavnické Bane, Stebník, Šumiac, Tuhár, Veľaty, Veličná, Veľké Chlievany a Vinosady.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 </w:t>
      </w:r>
    </w:p>
    <w:p w:rsidR="00C73756" w:rsidRP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Podľa ministra životného prostredia Jána Budaja, historicky najvyšší záujem obcí v tejto súťaži potvrdzuje, že rozvoj vidieka a starostlivosť o vidiecke životné prostredie získava dôležitosť.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 „Samosprávy majú možnosť zviditeľniť svoj domov, nadviazať nové kontakty, vymieňať si skúsenosti, či hľadať inšpiráciu na ďalší rast. Živý a zdravý vidiek v kombinácii s trvalo udržateľným rozvojom sú jedinečnou príležitosťou, ako podporiť zelený reštart Slovenska,“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zdôraznil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minister Budaj.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 </w:t>
      </w:r>
    </w:p>
    <w:p w:rsidR="00C73756" w:rsidRP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Obce teraz čaká to najdôležitejšie, zostaviť nápaditý a originálny program, ktorý predvedú členom Národnej hodnotiacej komisie. Jeho súčas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ťou bude prezentácia  úspechov 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dediny, jej výnimočnosť,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 kultúra, tvorivosť, respektíve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 tradície obyvateľov. Komisiu budú zaujímať aj inovatívne projekty, zamerané na proces starostlivosti o vidiecke životné prostredie, ktoré pomáhajú obci napredovať a rásť v súlade s princípmi trvalo udržateľného rozvoja. Michal Maco, generálny riaditeľ Slovenskej agentúry životného prostredia, ktorá je hlavným organizátorom súťaže ozrejmil najbližšie kroky. Podľa jeho slov sa v najbližších dňoch pripravuje prvé stretnutie Národnej hodnotiacej komisie, kde sa zostaví harmonogram hodnotenia obcí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. „O víťazstvo budú bojovať obce až zo 7 krajov Slovenska, počas leta navštívime rozmanité územie, kde sa oboznámime s úspešnými postupmi pri obnove vidieka,“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podčiarkol generálny riaditeľ Maco.</w:t>
      </w:r>
    </w:p>
    <w:p w:rsid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Účasťou v Dedine roka obce nesúťažia len o titul 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a ocenenia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v s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iedmich čiastkových kategóriách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, ale aj o vecné ceny a finančné výhry. Prostriedky, viazané na realizáciu projektov pre podporu ich rozvoja, poskytne hlavný partner súťaže, a tým je COOP Jednota Slovensko, s. d.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Vidiek podľa slov generálneho riaditeľa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 Jána Bilinského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predstavitelia podniku vnímajú  ako významnú súčasť </w:t>
      </w:r>
      <w:r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nášho kultúrneho a historického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dedičstva. „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Pre našu maloobchodnú sieť je pôsobenie v malých či väčších obciach prirodzené, rovnako aj podieľanie sa na ich zveľaďovaní. Dedina roka je zmysluplný projekt, ktorý obciam poskytuje výbornú príležitosť zviditeľniť sa a získať finančný grant pre svoj ďalší rozvoj. Zároveň </w:t>
      </w:r>
    </w:p>
    <w:p w:rsid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</w:pPr>
    </w:p>
    <w:p w:rsid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</w:pPr>
    </w:p>
    <w:p w:rsidR="00C73756" w:rsidRP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spája občanov v prospech dobrej veci, a preto ma teší, že COOP Jednota je jeho dlhodobou súčasťou. Verím, že zúčastnené subjekty budú inšpiráciou aj pre ďalšie obce“, </w:t>
      </w: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>doplnil.</w:t>
      </w:r>
      <w:r w:rsidRPr="00C7375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sk-SK"/>
        </w:rPr>
        <w:t xml:space="preserve"> </w:t>
      </w:r>
    </w:p>
    <w:p w:rsidR="00C73756" w:rsidRPr="00C73756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b/>
          <w:iCs/>
          <w:color w:val="000000"/>
          <w:sz w:val="23"/>
          <w:szCs w:val="23"/>
          <w:lang w:eastAsia="sk-SK"/>
        </w:rPr>
        <w:t>V</w:t>
      </w:r>
      <w:r w:rsidRPr="00C73756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sk-SK"/>
        </w:rPr>
        <w:t xml:space="preserve">yhlasovateľmi súťaže sú Ministerstvo životného prostredia SR, Slovenská agentúra životného prostredia, Spolok pre obnovu dediny a Združenie miest a obcí Slovenska. Víťazná obec bude reprezentovať Slovensko v súťaži o Európsku cenu obnovy dediny. Podrobnejšie informácie o Dedine roka 2021 sú zverejnené na webovej stránke </w:t>
      </w:r>
      <w:hyperlink r:id="rId7" w:history="1">
        <w:r w:rsidRPr="00C73756">
          <w:rPr>
            <w:rStyle w:val="Hypertextovprepojenie"/>
            <w:rFonts w:ascii="Times New Roman" w:eastAsia="Times New Roman" w:hAnsi="Times New Roman" w:cs="Times New Roman"/>
            <w:b/>
            <w:bCs/>
            <w:iCs/>
            <w:sz w:val="23"/>
            <w:szCs w:val="23"/>
            <w:lang w:eastAsia="sk-SK"/>
          </w:rPr>
          <w:t>www.dedinaroka.sk</w:t>
        </w:r>
      </w:hyperlink>
      <w:r w:rsidRPr="00C73756">
        <w:rPr>
          <w:rFonts w:ascii="Times New Roman" w:eastAsia="Times New Roman" w:hAnsi="Times New Roman" w:cs="Times New Roman"/>
          <w:b/>
          <w:bCs/>
          <w:iCs/>
          <w:color w:val="000000"/>
          <w:sz w:val="23"/>
          <w:szCs w:val="23"/>
          <w:lang w:eastAsia="sk-SK"/>
        </w:rPr>
        <w:t>.</w:t>
      </w:r>
    </w:p>
    <w:p w:rsidR="00C73756" w:rsidRPr="00D13A18" w:rsidRDefault="00C73756" w:rsidP="00C73756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  <w:r w:rsidRPr="00C73756">
        <w:rPr>
          <w:rFonts w:ascii="Times New Roman" w:eastAsia="Times New Roman" w:hAnsi="Times New Roman" w:cs="Times New Roman"/>
          <w:iCs/>
          <w:color w:val="000000"/>
          <w:sz w:val="23"/>
          <w:szCs w:val="23"/>
          <w:lang w:eastAsia="sk-SK"/>
        </w:rPr>
        <w:t xml:space="preserve"> </w:t>
      </w:r>
    </w:p>
    <w:p w:rsidR="001900D8" w:rsidRPr="00D13A18" w:rsidRDefault="001900D8" w:rsidP="00D13A18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</w:pPr>
    </w:p>
    <w:sectPr w:rsidR="001900D8" w:rsidRPr="00D13A18" w:rsidSect="009864DF">
      <w:headerReference w:type="default" r:id="rId8"/>
      <w:footerReference w:type="default" r:id="rId9"/>
      <w:pgSz w:w="11906" w:h="16838"/>
      <w:pgMar w:top="2694" w:right="991" w:bottom="2269" w:left="1417" w:header="708" w:footer="1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4F" w:rsidRDefault="0036654F" w:rsidP="0040504C">
      <w:pPr>
        <w:spacing w:after="0" w:line="240" w:lineRule="auto"/>
      </w:pPr>
      <w:r>
        <w:separator/>
      </w:r>
    </w:p>
  </w:endnote>
  <w:endnote w:type="continuationSeparator" w:id="0">
    <w:p w:rsidR="0036654F" w:rsidRDefault="0036654F" w:rsidP="0040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24" w:rsidRDefault="00F57924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100965</wp:posOffset>
          </wp:positionV>
          <wp:extent cx="6031230" cy="1033388"/>
          <wp:effectExtent l="0" t="0" r="762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52" r="-8" b="-52"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3338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4F" w:rsidRDefault="0036654F" w:rsidP="0040504C">
      <w:pPr>
        <w:spacing w:after="0" w:line="240" w:lineRule="auto"/>
      </w:pPr>
      <w:r>
        <w:separator/>
      </w:r>
    </w:p>
  </w:footnote>
  <w:footnote w:type="continuationSeparator" w:id="0">
    <w:p w:rsidR="0036654F" w:rsidRDefault="0036654F" w:rsidP="0040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04C" w:rsidRDefault="0040504C" w:rsidP="0040504C">
    <w:pPr>
      <w:pStyle w:val="Hlavika"/>
      <w:ind w:left="1843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-106680</wp:posOffset>
          </wp:positionV>
          <wp:extent cx="1139755" cy="952500"/>
          <wp:effectExtent l="0" t="0" r="381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A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75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0504C" w:rsidRDefault="0040504C" w:rsidP="0040504C">
    <w:pPr>
      <w:pStyle w:val="Hlavika"/>
      <w:ind w:left="1843"/>
    </w:pPr>
  </w:p>
  <w:p w:rsidR="0040504C" w:rsidRDefault="0040504C" w:rsidP="0040504C">
    <w:pPr>
      <w:pStyle w:val="Hlavika"/>
      <w:ind w:left="1985"/>
    </w:pPr>
    <w:r w:rsidRPr="0040504C">
      <w:t>Slovenská agentúra životného prostredia • Sekcia environmentalistiky</w:t>
    </w:r>
    <w:r w:rsidRPr="0040504C">
      <w:cr/>
      <w:t xml:space="preserve">Tajovského 28, 975 90 Banská Bystrica </w:t>
    </w:r>
    <w:r>
      <w:t xml:space="preserve">• tel. +421 48 43 74 162, 176 </w:t>
    </w:r>
    <w:r>
      <w:br/>
    </w:r>
    <w:r w:rsidRPr="0040504C">
      <w:t xml:space="preserve">sdrinfo@sazp.sk • www.dedinaroka.sk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4C"/>
    <w:rsid w:val="00041992"/>
    <w:rsid w:val="00132948"/>
    <w:rsid w:val="001900D8"/>
    <w:rsid w:val="001942F9"/>
    <w:rsid w:val="00214119"/>
    <w:rsid w:val="00285F7F"/>
    <w:rsid w:val="002D49AD"/>
    <w:rsid w:val="0036654F"/>
    <w:rsid w:val="0040504C"/>
    <w:rsid w:val="00424485"/>
    <w:rsid w:val="005A5B04"/>
    <w:rsid w:val="005C5C2C"/>
    <w:rsid w:val="00633089"/>
    <w:rsid w:val="00661C3A"/>
    <w:rsid w:val="0068435A"/>
    <w:rsid w:val="006A29F5"/>
    <w:rsid w:val="006F03D4"/>
    <w:rsid w:val="007703D0"/>
    <w:rsid w:val="00792655"/>
    <w:rsid w:val="008C4C7D"/>
    <w:rsid w:val="00924D2D"/>
    <w:rsid w:val="009864DF"/>
    <w:rsid w:val="00C332C7"/>
    <w:rsid w:val="00C4140C"/>
    <w:rsid w:val="00C73756"/>
    <w:rsid w:val="00CC06F9"/>
    <w:rsid w:val="00D06A71"/>
    <w:rsid w:val="00D13A18"/>
    <w:rsid w:val="00D13A1F"/>
    <w:rsid w:val="00D46AD5"/>
    <w:rsid w:val="00E57E66"/>
    <w:rsid w:val="00E6772D"/>
    <w:rsid w:val="00EC1D66"/>
    <w:rsid w:val="00F57924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Normlnatabuka"/>
    <w:uiPriority w:val="99"/>
    <w:rsid w:val="008C4C7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5B9BD5" w:themeColor="accent1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04C"/>
  </w:style>
  <w:style w:type="paragraph" w:styleId="Pta">
    <w:name w:val="footer"/>
    <w:basedOn w:val="Normlny"/>
    <w:link w:val="Pt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04C"/>
  </w:style>
  <w:style w:type="character" w:styleId="Hypertextovprepojenie">
    <w:name w:val="Hyperlink"/>
    <w:rsid w:val="001900D8"/>
    <w:rPr>
      <w:color w:val="0000FF"/>
      <w:u w:val="single"/>
    </w:rPr>
  </w:style>
  <w:style w:type="paragraph" w:customStyle="1" w:styleId="CharChar">
    <w:name w:val="Char Char"/>
    <w:basedOn w:val="Normlny"/>
    <w:rsid w:val="00D46AD5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l1">
    <w:name w:val="Štýl1"/>
    <w:basedOn w:val="Normlnatabuka"/>
    <w:uiPriority w:val="99"/>
    <w:rsid w:val="008C4C7D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tcBorders>
          <w:top w:val="single" w:sz="12" w:space="0" w:color="5B9BD5" w:themeColor="accent1"/>
          <w:left w:val="nil"/>
          <w:bottom w:val="single" w:sz="12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</w:style>
  <w:style w:type="paragraph" w:styleId="Hlavika">
    <w:name w:val="header"/>
    <w:basedOn w:val="Normlny"/>
    <w:link w:val="Hlavik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504C"/>
  </w:style>
  <w:style w:type="paragraph" w:styleId="Pta">
    <w:name w:val="footer"/>
    <w:basedOn w:val="Normlny"/>
    <w:link w:val="PtaChar"/>
    <w:uiPriority w:val="99"/>
    <w:unhideWhenUsed/>
    <w:rsid w:val="0040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504C"/>
  </w:style>
  <w:style w:type="character" w:styleId="Hypertextovprepojenie">
    <w:name w:val="Hyperlink"/>
    <w:rsid w:val="001900D8"/>
    <w:rPr>
      <w:color w:val="0000FF"/>
      <w:u w:val="single"/>
    </w:rPr>
  </w:style>
  <w:style w:type="paragraph" w:customStyle="1" w:styleId="CharChar">
    <w:name w:val="Char Char"/>
    <w:basedOn w:val="Normlny"/>
    <w:rsid w:val="00D46AD5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dinarok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Hupian</dc:creator>
  <cp:lastModifiedBy>VIPA</cp:lastModifiedBy>
  <cp:revision>2</cp:revision>
  <dcterms:created xsi:type="dcterms:W3CDTF">2021-05-11T09:31:00Z</dcterms:created>
  <dcterms:modified xsi:type="dcterms:W3CDTF">2021-05-11T09:31:00Z</dcterms:modified>
</cp:coreProperties>
</file>