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13" w:rsidRDefault="005D7313" w:rsidP="005D7313">
      <w:pPr>
        <w:ind w:left="1416" w:firstLine="708"/>
        <w:jc w:val="center"/>
        <w:rPr>
          <w:b/>
          <w:sz w:val="32"/>
          <w:szCs w:val="32"/>
        </w:rPr>
      </w:pPr>
      <w:r w:rsidRPr="00F54B34">
        <w:rPr>
          <w:rFonts w:ascii="Calibri" w:hAnsi="Calibri" w:cs="Calibri"/>
          <w:b/>
          <w:bCs/>
          <w:caps/>
          <w:noProof/>
          <w:color w:val="000000" w:themeColor="text1"/>
          <w:sz w:val="36"/>
          <w:szCs w:val="22"/>
          <w:lang w:eastAsia="sk-SK"/>
        </w:rPr>
        <w:drawing>
          <wp:anchor distT="0" distB="0" distL="114300" distR="114300" simplePos="0" relativeHeight="251665408" behindDoc="0" locked="0" layoutInCell="1" allowOverlap="1" wp14:anchorId="772D7EEF" wp14:editId="276BA02B">
            <wp:simplePos x="0" y="0"/>
            <wp:positionH relativeFrom="margin">
              <wp:posOffset>3392170</wp:posOffset>
            </wp:positionH>
            <wp:positionV relativeFrom="topMargin">
              <wp:align>bottom</wp:align>
            </wp:positionV>
            <wp:extent cx="1216025" cy="378460"/>
            <wp:effectExtent l="0" t="0" r="3175" b="254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Vidiecky-parla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B34">
        <w:rPr>
          <w:rFonts w:ascii="Calibri" w:hAnsi="Calibri" w:cs="Calibri"/>
          <w:b/>
          <w:bCs/>
          <w:caps/>
          <w:noProof/>
          <w:color w:val="000000" w:themeColor="text1"/>
          <w:sz w:val="36"/>
          <w:szCs w:val="22"/>
          <w:lang w:eastAsia="sk-SK"/>
        </w:rPr>
        <w:drawing>
          <wp:anchor distT="0" distB="0" distL="114300" distR="114300" simplePos="0" relativeHeight="251669504" behindDoc="0" locked="0" layoutInCell="1" allowOverlap="1" wp14:anchorId="033BF127" wp14:editId="2D9F0B28">
            <wp:simplePos x="0" y="0"/>
            <wp:positionH relativeFrom="margin">
              <wp:posOffset>5298440</wp:posOffset>
            </wp:positionH>
            <wp:positionV relativeFrom="topMargin">
              <wp:align>bottom</wp:align>
            </wp:positionV>
            <wp:extent cx="715645" cy="425450"/>
            <wp:effectExtent l="0" t="0" r="8255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TU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B34">
        <w:rPr>
          <w:rFonts w:ascii="Calibri" w:hAnsi="Calibri" w:cs="Calibri"/>
          <w:b/>
          <w:bCs/>
          <w:caps/>
          <w:noProof/>
          <w:color w:val="000000" w:themeColor="text1"/>
          <w:sz w:val="36"/>
          <w:szCs w:val="22"/>
          <w:lang w:eastAsia="sk-SK"/>
        </w:rPr>
        <w:drawing>
          <wp:anchor distT="0" distB="0" distL="114300" distR="114300" simplePos="0" relativeHeight="251667456" behindDoc="0" locked="0" layoutInCell="1" allowOverlap="1" wp14:anchorId="78AE495D" wp14:editId="51415FA2">
            <wp:simplePos x="0" y="0"/>
            <wp:positionH relativeFrom="margin">
              <wp:posOffset>4738370</wp:posOffset>
            </wp:positionH>
            <wp:positionV relativeFrom="topMargin">
              <wp:align>bottom</wp:align>
            </wp:positionV>
            <wp:extent cx="542290" cy="508000"/>
            <wp:effectExtent l="0" t="0" r="0" b="635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ZM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B34">
        <w:rPr>
          <w:rFonts w:ascii="Calibri" w:hAnsi="Calibri" w:cs="Calibri"/>
          <w:b/>
          <w:noProof/>
          <w:color w:val="000000" w:themeColor="text1"/>
          <w:sz w:val="22"/>
          <w:szCs w:val="22"/>
          <w:lang w:eastAsia="sk-SK"/>
        </w:rPr>
        <w:drawing>
          <wp:anchor distT="0" distB="0" distL="114300" distR="114300" simplePos="0" relativeHeight="251658239" behindDoc="0" locked="0" layoutInCell="1" allowOverlap="1" wp14:anchorId="43F00762" wp14:editId="6A581E8E">
            <wp:simplePos x="0" y="0"/>
            <wp:positionH relativeFrom="margin">
              <wp:posOffset>1841500</wp:posOffset>
            </wp:positionH>
            <wp:positionV relativeFrom="topMargin">
              <wp:align>bottom</wp:align>
            </wp:positionV>
            <wp:extent cx="1620520" cy="57785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P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B34">
        <w:rPr>
          <w:rFonts w:ascii="Calibri" w:hAnsi="Calibri" w:cs="Calibri"/>
          <w:b/>
          <w:bCs/>
          <w:caps/>
          <w:noProof/>
          <w:color w:val="000000" w:themeColor="text1"/>
          <w:sz w:val="36"/>
          <w:szCs w:val="22"/>
          <w:lang w:eastAsia="sk-SK"/>
        </w:rPr>
        <w:drawing>
          <wp:anchor distT="0" distB="0" distL="114300" distR="114300" simplePos="0" relativeHeight="251661312" behindDoc="0" locked="0" layoutInCell="1" allowOverlap="1" wp14:anchorId="6CC2DA4E" wp14:editId="0A3DCCD0">
            <wp:simplePos x="0" y="0"/>
            <wp:positionH relativeFrom="margin">
              <wp:posOffset>812800</wp:posOffset>
            </wp:positionH>
            <wp:positionV relativeFrom="topMargin">
              <wp:align>bottom</wp:align>
            </wp:positionV>
            <wp:extent cx="1254125" cy="447040"/>
            <wp:effectExtent l="0" t="0" r="3175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RV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B34">
        <w:rPr>
          <w:rFonts w:ascii="Calibri" w:hAnsi="Calibri" w:cs="Calibri"/>
          <w:b/>
          <w:bCs/>
          <w:caps/>
          <w:noProof/>
          <w:color w:val="000000" w:themeColor="text1"/>
          <w:sz w:val="36"/>
          <w:szCs w:val="22"/>
          <w:lang w:eastAsia="sk-SK"/>
        </w:rPr>
        <w:drawing>
          <wp:anchor distT="0" distB="0" distL="114300" distR="114300" simplePos="0" relativeHeight="251659264" behindDoc="0" locked="0" layoutInCell="1" allowOverlap="1" wp14:anchorId="01ADB476" wp14:editId="7FF0B136">
            <wp:simplePos x="0" y="0"/>
            <wp:positionH relativeFrom="margin">
              <wp:posOffset>-349250</wp:posOffset>
            </wp:positionH>
            <wp:positionV relativeFrom="topMargin">
              <wp:align>bottom</wp:align>
            </wp:positionV>
            <wp:extent cx="1162050" cy="412750"/>
            <wp:effectExtent l="0" t="0" r="0" b="635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PRV-S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</w:t>
      </w:r>
    </w:p>
    <w:p w:rsidR="00A13A2F" w:rsidRDefault="005D7313" w:rsidP="005D7313">
      <w:pPr>
        <w:ind w:left="1416"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355E8">
        <w:rPr>
          <w:b/>
          <w:sz w:val="32"/>
          <w:szCs w:val="32"/>
        </w:rPr>
        <w:t>Zhrnutie záverov</w:t>
      </w:r>
    </w:p>
    <w:p w:rsidR="00C355E8" w:rsidRDefault="005D7313" w:rsidP="005D7313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k</w:t>
      </w:r>
      <w:r w:rsidR="00C355E8">
        <w:rPr>
          <w:b/>
          <w:sz w:val="32"/>
          <w:szCs w:val="32"/>
        </w:rPr>
        <w:t>onferencie „Atraktívnejší vidiek“</w:t>
      </w:r>
    </w:p>
    <w:p w:rsidR="00C355E8" w:rsidRDefault="005D7313" w:rsidP="005D73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C355E8">
        <w:rPr>
          <w:b/>
          <w:sz w:val="32"/>
          <w:szCs w:val="32"/>
        </w:rPr>
        <w:t>Zvolen, 21.2.2023</w:t>
      </w:r>
    </w:p>
    <w:p w:rsidR="00C355E8" w:rsidRPr="00C355E8" w:rsidRDefault="00C355E8" w:rsidP="00604E15">
      <w:pPr>
        <w:jc w:val="center"/>
        <w:rPr>
          <w:i/>
          <w:sz w:val="32"/>
          <w:szCs w:val="32"/>
        </w:rPr>
      </w:pPr>
      <w:r w:rsidRPr="00C355E8">
        <w:rPr>
          <w:i/>
          <w:sz w:val="32"/>
          <w:szCs w:val="32"/>
        </w:rPr>
        <w:t>"Poďme spoločne viac zatraktívniť vidiek pre život, prácu a investície."</w:t>
      </w:r>
    </w:p>
    <w:p w:rsidR="00AD254A" w:rsidRDefault="00AD254A" w:rsidP="001C4E2B">
      <w:pPr>
        <w:jc w:val="both"/>
        <w:rPr>
          <w:b/>
          <w:u w:val="single"/>
        </w:rPr>
      </w:pPr>
    </w:p>
    <w:p w:rsidR="00C355E8" w:rsidRPr="00E542D2" w:rsidRDefault="00AD254A" w:rsidP="001C4E2B">
      <w:pPr>
        <w:jc w:val="both"/>
        <w:rPr>
          <w:b/>
          <w:sz w:val="24"/>
          <w:szCs w:val="24"/>
          <w:u w:val="single"/>
        </w:rPr>
      </w:pPr>
      <w:r w:rsidRPr="00E542D2">
        <w:rPr>
          <w:b/>
          <w:sz w:val="24"/>
          <w:szCs w:val="24"/>
          <w:u w:val="single"/>
        </w:rPr>
        <w:t>Úvod</w:t>
      </w:r>
    </w:p>
    <w:p w:rsidR="00C355E8" w:rsidRPr="00A472C4" w:rsidRDefault="00C355E8" w:rsidP="001C4E2B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>Konferencia</w:t>
      </w:r>
      <w:r w:rsidR="001C4E2B" w:rsidRPr="00A472C4">
        <w:rPr>
          <w:sz w:val="22"/>
          <w:szCs w:val="22"/>
        </w:rPr>
        <w:t xml:space="preserve"> </w:t>
      </w:r>
      <w:r w:rsidRPr="00A472C4">
        <w:rPr>
          <w:sz w:val="22"/>
          <w:szCs w:val="22"/>
        </w:rPr>
        <w:t>odštartovala sériu pravidelných stretávaní sa všetkých zainteresovaných aktérov (tvorcov politík a ich adresátov) s cieľom vytvoriť spoločnú platformu pre</w:t>
      </w:r>
      <w:r w:rsidR="00985D1F" w:rsidRPr="00A472C4">
        <w:rPr>
          <w:sz w:val="22"/>
          <w:szCs w:val="22"/>
        </w:rPr>
        <w:t xml:space="preserve"> zdieľanie aktuálnych informácií ohľadom Programu rozvoja vidieka</w:t>
      </w:r>
      <w:r w:rsidR="0082519C" w:rsidRPr="00A472C4">
        <w:rPr>
          <w:sz w:val="22"/>
          <w:szCs w:val="22"/>
        </w:rPr>
        <w:t xml:space="preserve"> SR</w:t>
      </w:r>
      <w:r w:rsidR="00985D1F" w:rsidRPr="00A472C4">
        <w:rPr>
          <w:sz w:val="22"/>
          <w:szCs w:val="22"/>
        </w:rPr>
        <w:t xml:space="preserve"> a pre</w:t>
      </w:r>
      <w:r w:rsidRPr="00A472C4">
        <w:rPr>
          <w:sz w:val="22"/>
          <w:szCs w:val="22"/>
        </w:rPr>
        <w:t xml:space="preserve"> formuláciu záväzkov k Vidieckemu paktu EÚ a Dlhodobej vízii EÚ pre vidiecke oblasti.</w:t>
      </w:r>
      <w:r w:rsidR="00E43D6A" w:rsidRPr="00A472C4">
        <w:rPr>
          <w:sz w:val="22"/>
          <w:szCs w:val="22"/>
        </w:rPr>
        <w:t xml:space="preserve"> Vytvára sa tak priestor na získavanie poznatkov o rôznych politikách </w:t>
      </w:r>
      <w:r w:rsidR="00200485">
        <w:rPr>
          <w:sz w:val="22"/>
          <w:szCs w:val="22"/>
        </w:rPr>
        <w:br/>
      </w:r>
      <w:r w:rsidR="00E43D6A" w:rsidRPr="00A472C4">
        <w:rPr>
          <w:sz w:val="22"/>
          <w:szCs w:val="22"/>
        </w:rPr>
        <w:t xml:space="preserve">zo širšieho okruhu zdrojov a zvyšuje sa participatívnosť na procesoch týkajúcich sa vidieka. </w:t>
      </w:r>
    </w:p>
    <w:p w:rsidR="00E542D2" w:rsidRPr="00A472C4" w:rsidRDefault="00C355E8" w:rsidP="00C355E8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 xml:space="preserve">Ambíciou je hľadať spôsoby ako lepšie načúvať hlasu vidieka, </w:t>
      </w:r>
      <w:r w:rsidR="00E15F36" w:rsidRPr="00A472C4">
        <w:rPr>
          <w:sz w:val="22"/>
          <w:szCs w:val="22"/>
        </w:rPr>
        <w:t xml:space="preserve">posilniť vidiek a jeho obyvateľov, </w:t>
      </w:r>
      <w:r w:rsidRPr="00A472C4">
        <w:rPr>
          <w:sz w:val="22"/>
          <w:szCs w:val="22"/>
        </w:rPr>
        <w:t>spájať sa pre spoločné ciele</w:t>
      </w:r>
      <w:r w:rsidR="0082519C" w:rsidRPr="00A472C4">
        <w:rPr>
          <w:sz w:val="22"/>
          <w:szCs w:val="22"/>
        </w:rPr>
        <w:t>, napĺňať Program rozvoja vidieka</w:t>
      </w:r>
      <w:r w:rsidRPr="00A472C4">
        <w:rPr>
          <w:sz w:val="22"/>
          <w:szCs w:val="22"/>
        </w:rPr>
        <w:t xml:space="preserve"> a spoločne formulovať víziu pre atraktívnejší vidiek do roku 2040</w:t>
      </w:r>
      <w:r w:rsidR="00E15F36" w:rsidRPr="00A472C4">
        <w:rPr>
          <w:sz w:val="22"/>
          <w:szCs w:val="22"/>
        </w:rPr>
        <w:t xml:space="preserve"> s cieľom lepšie čeliť bezprecedentným krízam a výzvam na vidieku</w:t>
      </w:r>
      <w:r w:rsidRPr="00A472C4">
        <w:rPr>
          <w:sz w:val="22"/>
          <w:szCs w:val="22"/>
        </w:rPr>
        <w:t xml:space="preserve">. ZJEDNOTIŤ SA pri riešení bežných problémov a ZATRAKTÍVNIŤ vidiecke miesta a povolania pre usadené vidiecke obyvateľstvo a pre nových alebo potencionálnych nováčikov. </w:t>
      </w:r>
    </w:p>
    <w:p w:rsidR="00E15F36" w:rsidRPr="00A472C4" w:rsidRDefault="00E43D6A" w:rsidP="00C355E8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>Vytvára sa možnosť p</w:t>
      </w:r>
      <w:r w:rsidR="00C355E8" w:rsidRPr="00A472C4">
        <w:rPr>
          <w:sz w:val="22"/>
          <w:szCs w:val="22"/>
        </w:rPr>
        <w:t xml:space="preserve">odieľať sa na tvorbe nových opatrení alebo upraviť existujúce tak, aby boli zamerané na ľudí a na budúcnosť zohľadňujúc názor všetkých zainteresovaných aktérov, pričom rozhodovanie má byť založené na dôkazoch o výkonnosti a efektívnosti v súčasnosti používaných nástrojov politík (kto z nich v skutočnosti profituje a v akom rozsahu) a o možných dopadoch nových opatrení. </w:t>
      </w:r>
    </w:p>
    <w:p w:rsidR="00C355E8" w:rsidRPr="00A472C4" w:rsidRDefault="00E43D6A" w:rsidP="00C355E8">
      <w:pPr>
        <w:jc w:val="both"/>
        <w:rPr>
          <w:sz w:val="22"/>
          <w:szCs w:val="22"/>
        </w:rPr>
      </w:pPr>
      <w:r w:rsidRPr="005D5621">
        <w:rPr>
          <w:b/>
          <w:sz w:val="22"/>
          <w:szCs w:val="22"/>
        </w:rPr>
        <w:t>Ďalšou</w:t>
      </w:r>
      <w:r w:rsidR="00C355E8" w:rsidRPr="005D5621">
        <w:rPr>
          <w:b/>
          <w:sz w:val="22"/>
          <w:szCs w:val="22"/>
        </w:rPr>
        <w:t xml:space="preserve"> ambíci</w:t>
      </w:r>
      <w:r w:rsidRPr="005D5621">
        <w:rPr>
          <w:b/>
          <w:sz w:val="22"/>
          <w:szCs w:val="22"/>
        </w:rPr>
        <w:t>o</w:t>
      </w:r>
      <w:r w:rsidR="00C355E8" w:rsidRPr="005D5621">
        <w:rPr>
          <w:b/>
          <w:sz w:val="22"/>
          <w:szCs w:val="22"/>
        </w:rPr>
        <w:t xml:space="preserve">u </w:t>
      </w:r>
      <w:r w:rsidRPr="005D5621">
        <w:rPr>
          <w:b/>
          <w:sz w:val="22"/>
          <w:szCs w:val="22"/>
        </w:rPr>
        <w:t xml:space="preserve">je </w:t>
      </w:r>
      <w:r w:rsidR="00C355E8" w:rsidRPr="005D5621">
        <w:rPr>
          <w:b/>
          <w:sz w:val="22"/>
          <w:szCs w:val="22"/>
        </w:rPr>
        <w:t>spoločne prekonať tradičné sektorové myslenie a pretaviť ho do spoločného úsilia zjednocujúceho rôznych aktérov</w:t>
      </w:r>
      <w:r w:rsidRPr="005D5621">
        <w:rPr>
          <w:b/>
          <w:sz w:val="22"/>
          <w:szCs w:val="22"/>
        </w:rPr>
        <w:t xml:space="preserve"> a rôzne rezorty</w:t>
      </w:r>
      <w:r w:rsidR="00C355E8" w:rsidRPr="005D5621">
        <w:rPr>
          <w:b/>
          <w:sz w:val="22"/>
          <w:szCs w:val="22"/>
        </w:rPr>
        <w:t xml:space="preserve"> pod spoločným cieľom.</w:t>
      </w:r>
      <w:r w:rsidR="002B5799">
        <w:rPr>
          <w:sz w:val="22"/>
          <w:szCs w:val="22"/>
        </w:rPr>
        <w:t xml:space="preserve"> Okrem MPRV SR bol zastúpený Úrad vlády SR, Ministerstvo dopravy a Ministerstvo investícií, regionálneho rozvoja a informatizácie, čím sa spája úsilie a posilňujú sa synergie skrze rôzne podporné mechanizmy. </w:t>
      </w:r>
    </w:p>
    <w:p w:rsidR="00C355E8" w:rsidRPr="00A472C4" w:rsidRDefault="00C355E8" w:rsidP="00C355E8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>Reagujeme na potrebu lepšie strategickej pristupovať k rozvoju vidieka, ktorý má zahŕňať diverzitu vidieckeho života, vidieckych miest a</w:t>
      </w:r>
      <w:r w:rsidR="00E43D6A" w:rsidRPr="00A472C4">
        <w:rPr>
          <w:sz w:val="22"/>
          <w:szCs w:val="22"/>
        </w:rPr>
        <w:t> </w:t>
      </w:r>
      <w:r w:rsidRPr="00A472C4">
        <w:rPr>
          <w:sz w:val="22"/>
          <w:szCs w:val="22"/>
        </w:rPr>
        <w:t>profesií</w:t>
      </w:r>
      <w:r w:rsidR="00E43D6A" w:rsidRPr="00A472C4">
        <w:rPr>
          <w:sz w:val="22"/>
          <w:szCs w:val="22"/>
        </w:rPr>
        <w:t xml:space="preserve"> s cieľom </w:t>
      </w:r>
      <w:r w:rsidRPr="00A472C4">
        <w:rPr>
          <w:sz w:val="22"/>
          <w:szCs w:val="22"/>
        </w:rPr>
        <w:t xml:space="preserve">zabezpečiť dlhodobú stabilnú politiku pre vidiek podloženú dlhodobým výhľadom. </w:t>
      </w:r>
    </w:p>
    <w:p w:rsidR="00E542D2" w:rsidRPr="00A472C4" w:rsidRDefault="00E542D2" w:rsidP="00E542D2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>Slovensko je prevažne vidiecka krajina a vidiek si zaslúži osobitnú a zvýšenú pozornosť.</w:t>
      </w:r>
    </w:p>
    <w:p w:rsidR="00B92E2F" w:rsidRDefault="00B92E2F" w:rsidP="00E542D2">
      <w:pPr>
        <w:jc w:val="both"/>
        <w:rPr>
          <w:sz w:val="22"/>
          <w:szCs w:val="22"/>
        </w:rPr>
      </w:pPr>
    </w:p>
    <w:p w:rsidR="002B5799" w:rsidRDefault="002B5799" w:rsidP="00E542D2">
      <w:pPr>
        <w:jc w:val="both"/>
        <w:rPr>
          <w:sz w:val="22"/>
          <w:szCs w:val="22"/>
        </w:rPr>
      </w:pPr>
    </w:p>
    <w:p w:rsidR="00AD254A" w:rsidRPr="00A472C4" w:rsidRDefault="00AD254A" w:rsidP="00C355E8">
      <w:pPr>
        <w:jc w:val="both"/>
        <w:rPr>
          <w:b/>
          <w:sz w:val="24"/>
          <w:szCs w:val="24"/>
          <w:u w:val="single"/>
        </w:rPr>
      </w:pPr>
      <w:r w:rsidRPr="00A472C4">
        <w:rPr>
          <w:b/>
          <w:sz w:val="24"/>
          <w:szCs w:val="24"/>
          <w:u w:val="single"/>
        </w:rPr>
        <w:lastRenderedPageBreak/>
        <w:t>Strategické dokumenty</w:t>
      </w:r>
    </w:p>
    <w:p w:rsidR="00AD254A" w:rsidRPr="00A472C4" w:rsidRDefault="00AD254A" w:rsidP="001C4E2B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>Prezentované boli nasledovné strategické dokumenty:</w:t>
      </w:r>
    </w:p>
    <w:p w:rsidR="002D52B6" w:rsidRDefault="002D52B6" w:rsidP="0082519C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Plán rozvoj vidieka 2014-2020</w:t>
      </w:r>
    </w:p>
    <w:p w:rsidR="00200485" w:rsidRPr="006E7C74" w:rsidRDefault="00200485" w:rsidP="00200485">
      <w:pPr>
        <w:jc w:val="both"/>
        <w:rPr>
          <w:sz w:val="22"/>
          <w:szCs w:val="22"/>
        </w:rPr>
      </w:pPr>
      <w:r w:rsidRPr="006E7C74">
        <w:rPr>
          <w:sz w:val="22"/>
          <w:szCs w:val="22"/>
        </w:rPr>
        <w:t>(4 opatrenia z PRV – M 4, 7, 9 a 19 – publicita PRV)</w:t>
      </w:r>
    </w:p>
    <w:p w:rsidR="0082519C" w:rsidRPr="00A472C4" w:rsidRDefault="002D52B6" w:rsidP="0082519C">
      <w:pPr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S</w:t>
      </w:r>
      <w:r w:rsidR="0082519C" w:rsidRPr="00A472C4">
        <w:rPr>
          <w:i/>
          <w:sz w:val="22"/>
          <w:szCs w:val="22"/>
          <w:u w:val="single"/>
        </w:rPr>
        <w:t xml:space="preserve">trategický plán </w:t>
      </w:r>
      <w:r>
        <w:rPr>
          <w:i/>
          <w:sz w:val="22"/>
          <w:szCs w:val="22"/>
          <w:u w:val="single"/>
        </w:rPr>
        <w:t xml:space="preserve">SPP </w:t>
      </w:r>
      <w:r w:rsidR="0082519C" w:rsidRPr="00A472C4">
        <w:rPr>
          <w:i/>
          <w:sz w:val="22"/>
          <w:szCs w:val="22"/>
          <w:u w:val="single"/>
        </w:rPr>
        <w:t>na roky 2023 – 2027</w:t>
      </w:r>
    </w:p>
    <w:p w:rsidR="003724D4" w:rsidRPr="00A472C4" w:rsidRDefault="003724D4" w:rsidP="0082519C">
      <w:pPr>
        <w:jc w:val="both"/>
        <w:rPr>
          <w:sz w:val="22"/>
          <w:szCs w:val="22"/>
        </w:rPr>
      </w:pPr>
      <w:r w:rsidRPr="00A472C4">
        <w:rPr>
          <w:i/>
          <w:sz w:val="22"/>
          <w:szCs w:val="22"/>
          <w:u w:val="single"/>
        </w:rPr>
        <w:t>Vízia</w:t>
      </w:r>
      <w:r w:rsidR="0082519C" w:rsidRPr="00A472C4">
        <w:rPr>
          <w:i/>
          <w:sz w:val="22"/>
          <w:szCs w:val="22"/>
          <w:u w:val="single"/>
        </w:rPr>
        <w:t xml:space="preserve"> spoločných postupov pri budovaní moderného pôdohospodárstva v horizonte roku 2035</w:t>
      </w:r>
      <w:r w:rsidR="0082519C" w:rsidRPr="00A472C4">
        <w:rPr>
          <w:sz w:val="22"/>
          <w:szCs w:val="22"/>
        </w:rPr>
        <w:t xml:space="preserve"> </w:t>
      </w:r>
      <w:r w:rsidRPr="00A472C4">
        <w:rPr>
          <w:sz w:val="22"/>
          <w:szCs w:val="22"/>
        </w:rPr>
        <w:t xml:space="preserve"> je analyticko – syntetický dokument, skoncipovaný so zámerom pomenovať súčasný stav, východiská a očakávania rozvoja do roku 2027 a 2035, problémy rozvoja a návrh pro-rozvojových opatrení v piatich základných oblastiach, akými sú poľnohospodárstvo, potravinárstvo, lesníctvo, ochrana životného prostredia, rozvoj vidieka a pôdohospodárske školstvo, veda a výskum. Vízia je členená na jedenásť kapitol vrátane kapitoly zameranej na potenciál rozvoja vidieckych oblastí a uspokojenie ich spoločenských požiadaviek.</w:t>
      </w:r>
    </w:p>
    <w:p w:rsidR="001366C5" w:rsidRDefault="002D52B6" w:rsidP="0082519C">
      <w:pPr>
        <w:jc w:val="both"/>
        <w:rPr>
          <w:sz w:val="22"/>
          <w:szCs w:val="22"/>
        </w:rPr>
      </w:pPr>
      <w:r w:rsidRPr="002D52B6">
        <w:rPr>
          <w:i/>
          <w:sz w:val="22"/>
          <w:szCs w:val="22"/>
          <w:u w:val="single"/>
        </w:rPr>
        <w:t xml:space="preserve">Koncept „Pôda – uhlíková a vodná banka krajiny“ </w:t>
      </w:r>
      <w:r w:rsidRPr="005D5621">
        <w:rPr>
          <w:sz w:val="22"/>
          <w:szCs w:val="22"/>
        </w:rPr>
        <w:t>a na neho nadväzujúci návrh certifikačného systému „Uhlíková a vodná banka“</w:t>
      </w:r>
      <w:r>
        <w:rPr>
          <w:sz w:val="22"/>
          <w:szCs w:val="22"/>
        </w:rPr>
        <w:t xml:space="preserve">. </w:t>
      </w:r>
      <w:r w:rsidR="001366C5">
        <w:rPr>
          <w:sz w:val="22"/>
          <w:szCs w:val="22"/>
        </w:rPr>
        <w:t xml:space="preserve">Certifikačný systém rozširuje štátnu politiku v oblasti ochrany pôdy o novú oblasť a to hodnotenie a financovanie ekosystémových služieb pôdy a krajiny, ktoré podporuje komplexný prístup k pôde (NEXUS), udržaniu jej produkčných funkcií a súčasne k udržaniu a obnove jej ekosystémových funkcií. Uvedený postup podporuje znižovanie klimatických rizík (povodní, sucha a extrémov počasia) a ich negatívnych dopadov, podporuje obnovu a udržanie vodných zdrojov </w:t>
      </w:r>
      <w:r w:rsidR="00600490">
        <w:rPr>
          <w:sz w:val="22"/>
          <w:szCs w:val="22"/>
        </w:rPr>
        <w:br/>
      </w:r>
      <w:r w:rsidR="001366C5">
        <w:rPr>
          <w:sz w:val="22"/>
          <w:szCs w:val="22"/>
        </w:rPr>
        <w:t xml:space="preserve">v krajine. Navrhované riešenie podporuje cielené a adresné zapojenie užívateľov pozemkov, vlastníkov pozemkov a obcí do lepšieho manažmentu pôdy, do realizácie potrebných adaptačných opatrení.    </w:t>
      </w:r>
    </w:p>
    <w:p w:rsidR="002D52B6" w:rsidRPr="005D5621" w:rsidRDefault="002D52B6" w:rsidP="008251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Prezentovaný bol aj postup MPRV SR, ktorým rozpracúva rezortnú Cestovnú mapu obehového </w:t>
      </w:r>
      <w:r w:rsidR="00600490">
        <w:rPr>
          <w:sz w:val="22"/>
          <w:szCs w:val="22"/>
        </w:rPr>
        <w:br/>
      </w:r>
      <w:r>
        <w:rPr>
          <w:sz w:val="22"/>
          <w:szCs w:val="22"/>
        </w:rPr>
        <w:t xml:space="preserve">bio-hospodárstva. Predstavený bol aj návrh zapojenie MPRV SR do nového komponentu Plánu obnovy a odolnosti REPowerEU (komplexné energetické a živinové zhodnotenie bioodpadu; prechod </w:t>
      </w:r>
      <w:r w:rsidR="00600490">
        <w:rPr>
          <w:sz w:val="22"/>
          <w:szCs w:val="22"/>
        </w:rPr>
        <w:br/>
      </w:r>
      <w:r>
        <w:rPr>
          <w:sz w:val="22"/>
          <w:szCs w:val="22"/>
        </w:rPr>
        <w:t xml:space="preserve">na organické hnojivá; udržanie produkčnej kapacity pôdy).  </w:t>
      </w:r>
    </w:p>
    <w:p w:rsidR="0082519C" w:rsidRPr="00A472C4" w:rsidRDefault="0082519C" w:rsidP="0082519C">
      <w:pPr>
        <w:jc w:val="both"/>
        <w:rPr>
          <w:sz w:val="22"/>
          <w:szCs w:val="22"/>
        </w:rPr>
      </w:pPr>
      <w:r w:rsidRPr="00A472C4">
        <w:rPr>
          <w:i/>
          <w:sz w:val="22"/>
          <w:szCs w:val="22"/>
          <w:u w:val="single"/>
        </w:rPr>
        <w:t>Partnerská dohoda a Operačný program „Slovensko“</w:t>
      </w:r>
      <w:r w:rsidR="002D52B6" w:rsidRPr="005D5621">
        <w:rPr>
          <w:sz w:val="22"/>
          <w:szCs w:val="22"/>
        </w:rPr>
        <w:t xml:space="preserve"> zo strany MIRRI SR.</w:t>
      </w:r>
    </w:p>
    <w:p w:rsidR="007537AA" w:rsidRPr="00A472C4" w:rsidRDefault="007537AA" w:rsidP="001C4E2B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 xml:space="preserve">V lete 2021 Európska komisia zverejnila </w:t>
      </w:r>
      <w:r w:rsidRPr="00A472C4">
        <w:rPr>
          <w:i/>
          <w:sz w:val="22"/>
          <w:szCs w:val="22"/>
          <w:u w:val="single"/>
        </w:rPr>
        <w:t>Dlhodobú víziu pre vidiecke oblasti EÚ</w:t>
      </w:r>
      <w:r w:rsidRPr="00A472C4">
        <w:rPr>
          <w:sz w:val="22"/>
          <w:szCs w:val="22"/>
        </w:rPr>
        <w:t xml:space="preserve"> – smerom k silnejším, prosperujúcejším a odolnejším vidieckym oblastiam. Vízia predstavuje prielom v novej forme spolupráce generálnych direktoriátov a zapájania aktérov na vidieku. Následne začiatkom tohto roka spustila iniciatívu </w:t>
      </w:r>
      <w:r w:rsidRPr="00A472C4">
        <w:rPr>
          <w:i/>
          <w:sz w:val="22"/>
          <w:szCs w:val="22"/>
          <w:u w:val="single"/>
        </w:rPr>
        <w:t>Vidiecky pakt</w:t>
      </w:r>
      <w:r w:rsidRPr="00A472C4">
        <w:rPr>
          <w:sz w:val="22"/>
          <w:szCs w:val="22"/>
        </w:rPr>
        <w:t xml:space="preserve"> s cieľom mobilizovať verejné orgány a zainteresovaných, aby konali </w:t>
      </w:r>
      <w:r w:rsidR="00600490">
        <w:rPr>
          <w:sz w:val="22"/>
          <w:szCs w:val="22"/>
        </w:rPr>
        <w:br/>
      </w:r>
      <w:r w:rsidRPr="00A472C4">
        <w:rPr>
          <w:sz w:val="22"/>
          <w:szCs w:val="22"/>
        </w:rPr>
        <w:t>na základe potrieb a prianí obyvateľov vidieka. Je koncipovaný tak</w:t>
      </w:r>
      <w:r w:rsidR="00600490">
        <w:rPr>
          <w:sz w:val="22"/>
          <w:szCs w:val="22"/>
        </w:rPr>
        <w:t>,</w:t>
      </w:r>
      <w:r w:rsidRPr="00A472C4">
        <w:rPr>
          <w:sz w:val="22"/>
          <w:szCs w:val="22"/>
        </w:rPr>
        <w:t xml:space="preserve"> aby všetky úrovne správy a zainteresované strany podporovali spoločné ciele Vízie. V júni </w:t>
      </w:r>
      <w:r w:rsidR="00845727">
        <w:rPr>
          <w:sz w:val="22"/>
          <w:szCs w:val="22"/>
        </w:rPr>
        <w:t>2022</w:t>
      </w:r>
      <w:r w:rsidRPr="00A472C4">
        <w:rPr>
          <w:sz w:val="22"/>
          <w:szCs w:val="22"/>
        </w:rPr>
        <w:t xml:space="preserve"> bol Pakt prijatý na konferencii v Bruseli. Zároveň bol vypracovaný Akčný plán s 24 tematickými aktivitami. </w:t>
      </w:r>
    </w:p>
    <w:p w:rsidR="00220F13" w:rsidRPr="00A472C4" w:rsidRDefault="00220F13" w:rsidP="001C4E2B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 xml:space="preserve">Národná </w:t>
      </w:r>
      <w:r w:rsidRPr="00A472C4">
        <w:rPr>
          <w:i/>
          <w:sz w:val="22"/>
          <w:szCs w:val="22"/>
          <w:u w:val="single"/>
        </w:rPr>
        <w:t>Vízia pre atraktívnejší vidiek</w:t>
      </w:r>
      <w:r w:rsidRPr="00A472C4">
        <w:rPr>
          <w:sz w:val="22"/>
          <w:szCs w:val="22"/>
        </w:rPr>
        <w:t xml:space="preserve"> bola vypracovávaná paralelne s tou európskou v rámci výskumného projektu Polirural počas posledných viac ako 3 rokov. Je výstupom komplexného, participatívneho a na budúcnosť a konkrétne kroky orientovaného procesu tvorby výhľadovej štúdie v spolupráci s ľuďmi žijúcimi na vidieku. Bola predstavená na Dni vidieka v NR SR. V súčasnosti pokračujú postupné kroky vedúce k ukotveniu doktríny pre vidiek v ústavnom zákone.  </w:t>
      </w:r>
    </w:p>
    <w:p w:rsidR="00A13A2F" w:rsidRPr="00A472C4" w:rsidRDefault="00A13A2F" w:rsidP="001C4E2B">
      <w:pPr>
        <w:jc w:val="both"/>
        <w:rPr>
          <w:sz w:val="22"/>
          <w:szCs w:val="22"/>
        </w:rPr>
      </w:pPr>
      <w:r w:rsidRPr="00A472C4">
        <w:rPr>
          <w:i/>
          <w:sz w:val="22"/>
          <w:szCs w:val="22"/>
          <w:u w:val="single"/>
        </w:rPr>
        <w:lastRenderedPageBreak/>
        <w:t xml:space="preserve">Manifest Európskeho vidieckeho parlamentu </w:t>
      </w:r>
      <w:r w:rsidR="002B4B55" w:rsidRPr="00A472C4">
        <w:rPr>
          <w:i/>
          <w:sz w:val="22"/>
          <w:szCs w:val="22"/>
          <w:u w:val="single"/>
        </w:rPr>
        <w:t>2022</w:t>
      </w:r>
      <w:r w:rsidR="002B4B55" w:rsidRPr="00A472C4">
        <w:rPr>
          <w:sz w:val="22"/>
          <w:szCs w:val="22"/>
        </w:rPr>
        <w:t xml:space="preserve"> bol prijatý v septembri v poľskom Kielce. Obsahuje vyhlásenie o ašpiráciách, záväzkoch a požiadavkách vidieckych ľudí, dedín a komunít, ktoré vychádzajú zo stretnutí, kampaní a politických diskusií vedených od roku 2013.</w:t>
      </w:r>
    </w:p>
    <w:p w:rsidR="00C7502D" w:rsidRPr="00A472C4" w:rsidRDefault="00E542D2" w:rsidP="00C7502D">
      <w:pPr>
        <w:spacing w:line="360" w:lineRule="auto"/>
        <w:jc w:val="both"/>
        <w:rPr>
          <w:sz w:val="22"/>
          <w:szCs w:val="22"/>
        </w:rPr>
      </w:pPr>
      <w:r w:rsidRPr="00A472C4">
        <w:rPr>
          <w:i/>
          <w:sz w:val="22"/>
          <w:szCs w:val="22"/>
          <w:u w:val="single"/>
        </w:rPr>
        <w:t>Agenda Živý vidiek</w:t>
      </w:r>
      <w:r w:rsidR="00C7502D" w:rsidRPr="00A472C4">
        <w:rPr>
          <w:sz w:val="22"/>
          <w:szCs w:val="22"/>
        </w:rPr>
        <w:t xml:space="preserve"> Združenia miest a obcí Slovenska je rozpracovaná v štúdii „Vidiek ako investičná príležitosť“. Štruktúra samospráv na Slovensku znásobuje pozornosť, ktorú je potrebné venovať vidieku. Agenda Živý vidiek je mimoriadne prínosná pre koordinovaný rozvoj vidieckeho územia </w:t>
      </w:r>
      <w:r w:rsidR="00871861">
        <w:rPr>
          <w:sz w:val="22"/>
          <w:szCs w:val="22"/>
        </w:rPr>
        <w:br/>
      </w:r>
      <w:r w:rsidR="00C7502D" w:rsidRPr="00A472C4">
        <w:rPr>
          <w:sz w:val="22"/>
          <w:szCs w:val="22"/>
        </w:rPr>
        <w:t>na Slovensku. Na základe uvedeného bola táto agenda súčasťou priorít 31. snemu ZMOS v septembri 2021, ktorý schválil prioritu, a to v nasledovnej formulácii: ZMOS bude presadzovať agendu „Živý vidiek“, z hľadiska komplexných a udržateľných riešení, ktoré pomôžu formovať lokálnu hospodársku politiku, cestovný ruch, odstraňovanie potravinových púšti na vidieku a partnerstvo sociálnych aktérov v lokálnom rozvoji. Zároveň sa ZMOS zaviazal presadzovať túto agendu v novom programovom období SR, v Partnerskej dohode SR 2021–2027. Potreba legislatívneho a inštitucionálneho zadefinovani</w:t>
      </w:r>
      <w:r w:rsidR="00871861">
        <w:rPr>
          <w:sz w:val="22"/>
          <w:szCs w:val="22"/>
        </w:rPr>
        <w:t>a</w:t>
      </w:r>
      <w:r w:rsidR="00C7502D" w:rsidRPr="00A472C4">
        <w:rPr>
          <w:sz w:val="22"/>
          <w:szCs w:val="22"/>
        </w:rPr>
        <w:t xml:space="preserve"> rozvoja vidieckych oblastí s cieľom podpory budúcich udržateľných a živých vidieckych obcí.</w:t>
      </w:r>
    </w:p>
    <w:p w:rsidR="00B92E2F" w:rsidRPr="00A472C4" w:rsidRDefault="001366C5" w:rsidP="001C4E2B">
      <w:pPr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V rámci podkladových materiálov poskytnutých účastníkom konferencie a v rámci prezentácii zaznelo, že na národnej úrovni je potrebné prijať </w:t>
      </w:r>
      <w:r w:rsidR="00B92E2F" w:rsidRPr="00A472C4">
        <w:rPr>
          <w:i/>
          <w:sz w:val="22"/>
          <w:szCs w:val="22"/>
          <w:u w:val="single"/>
        </w:rPr>
        <w:t>Vízi</w:t>
      </w:r>
      <w:r>
        <w:rPr>
          <w:i/>
          <w:sz w:val="22"/>
          <w:szCs w:val="22"/>
          <w:u w:val="single"/>
        </w:rPr>
        <w:t>u</w:t>
      </w:r>
      <w:r w:rsidR="00B92E2F" w:rsidRPr="00A472C4">
        <w:rPr>
          <w:i/>
          <w:sz w:val="22"/>
          <w:szCs w:val="22"/>
          <w:u w:val="single"/>
        </w:rPr>
        <w:t xml:space="preserve"> a</w:t>
      </w:r>
      <w:r>
        <w:rPr>
          <w:i/>
          <w:sz w:val="22"/>
          <w:szCs w:val="22"/>
          <w:u w:val="single"/>
        </w:rPr>
        <w:t> </w:t>
      </w:r>
      <w:r w:rsidR="00B92E2F" w:rsidRPr="00A472C4">
        <w:rPr>
          <w:i/>
          <w:sz w:val="22"/>
          <w:szCs w:val="22"/>
          <w:u w:val="single"/>
        </w:rPr>
        <w:t>stratégi</w:t>
      </w:r>
      <w:r>
        <w:rPr>
          <w:i/>
          <w:sz w:val="22"/>
          <w:szCs w:val="22"/>
          <w:u w:val="single"/>
        </w:rPr>
        <w:t>u rozvoja vidieka</w:t>
      </w:r>
      <w:r w:rsidR="00B92E2F" w:rsidRPr="00A472C4">
        <w:rPr>
          <w:i/>
          <w:sz w:val="22"/>
          <w:szCs w:val="22"/>
          <w:u w:val="single"/>
        </w:rPr>
        <w:t xml:space="preserve"> do roku 2030</w:t>
      </w:r>
      <w:r>
        <w:rPr>
          <w:i/>
          <w:sz w:val="22"/>
          <w:szCs w:val="22"/>
          <w:u w:val="single"/>
        </w:rPr>
        <w:t xml:space="preserve">. Takýto materiál by mal mať prierezový charakter, mal by </w:t>
      </w:r>
      <w:r>
        <w:rPr>
          <w:sz w:val="22"/>
          <w:szCs w:val="22"/>
        </w:rPr>
        <w:t>pomenovať všetky rozh</w:t>
      </w:r>
      <w:r w:rsidR="00845727">
        <w:rPr>
          <w:sz w:val="22"/>
          <w:szCs w:val="22"/>
        </w:rPr>
        <w:t xml:space="preserve">odujúce nástroje, koordinačné nástroje na </w:t>
      </w:r>
      <w:r>
        <w:rPr>
          <w:sz w:val="22"/>
          <w:szCs w:val="22"/>
        </w:rPr>
        <w:t>zosúladenie rezortov a</w:t>
      </w:r>
      <w:r w:rsidR="00845727">
        <w:rPr>
          <w:sz w:val="22"/>
          <w:szCs w:val="22"/>
        </w:rPr>
        <w:t xml:space="preserve"> lepšiu spoluprácu všetkých </w:t>
      </w:r>
      <w:r>
        <w:rPr>
          <w:sz w:val="22"/>
          <w:szCs w:val="22"/>
        </w:rPr>
        <w:t xml:space="preserve">aktérov </w:t>
      </w:r>
      <w:r w:rsidR="00845727">
        <w:rPr>
          <w:sz w:val="22"/>
          <w:szCs w:val="22"/>
        </w:rPr>
        <w:t xml:space="preserve">pri </w:t>
      </w:r>
      <w:r>
        <w:rPr>
          <w:sz w:val="22"/>
          <w:szCs w:val="22"/>
        </w:rPr>
        <w:t>rozvoj</w:t>
      </w:r>
      <w:r w:rsidR="00845727">
        <w:rPr>
          <w:sz w:val="22"/>
          <w:szCs w:val="22"/>
        </w:rPr>
        <w:t>i</w:t>
      </w:r>
      <w:r>
        <w:rPr>
          <w:sz w:val="22"/>
          <w:szCs w:val="22"/>
        </w:rPr>
        <w:t xml:space="preserve"> vidieka</w:t>
      </w:r>
      <w:r w:rsidR="00845727">
        <w:rPr>
          <w:sz w:val="22"/>
          <w:szCs w:val="22"/>
        </w:rPr>
        <w:t>. R</w:t>
      </w:r>
      <w:r>
        <w:rPr>
          <w:sz w:val="22"/>
          <w:szCs w:val="22"/>
        </w:rPr>
        <w:t xml:space="preserve">ovnako by </w:t>
      </w:r>
      <w:r w:rsidR="00845727">
        <w:rPr>
          <w:sz w:val="22"/>
          <w:szCs w:val="22"/>
        </w:rPr>
        <w:t xml:space="preserve">mal </w:t>
      </w:r>
      <w:r>
        <w:rPr>
          <w:sz w:val="22"/>
          <w:szCs w:val="22"/>
        </w:rPr>
        <w:t>definova</w:t>
      </w:r>
      <w:r w:rsidR="00845727">
        <w:rPr>
          <w:sz w:val="22"/>
          <w:szCs w:val="22"/>
        </w:rPr>
        <w:t xml:space="preserve">ť </w:t>
      </w:r>
      <w:r>
        <w:rPr>
          <w:sz w:val="22"/>
          <w:szCs w:val="22"/>
        </w:rPr>
        <w:t>strategické ciele a oblasti reforiem, ktoré musíme absolvovať, aby sme aktivovali rozvojový potenciál územi</w:t>
      </w:r>
      <w:r w:rsidR="00871861">
        <w:rPr>
          <w:sz w:val="22"/>
          <w:szCs w:val="22"/>
        </w:rPr>
        <w:t>a</w:t>
      </w:r>
      <w:r>
        <w:rPr>
          <w:sz w:val="22"/>
          <w:szCs w:val="22"/>
        </w:rPr>
        <w:t xml:space="preserve"> a zabezpečili </w:t>
      </w:r>
      <w:r w:rsidR="00845727">
        <w:rPr>
          <w:sz w:val="22"/>
          <w:szCs w:val="22"/>
        </w:rPr>
        <w:t xml:space="preserve">plynulý </w:t>
      </w:r>
      <w:r>
        <w:rPr>
          <w:sz w:val="22"/>
          <w:szCs w:val="22"/>
        </w:rPr>
        <w:t xml:space="preserve">rozvoj vidieka vo všetkých oblastiach, ktoré vyžaduje. </w:t>
      </w:r>
      <w:r w:rsidR="00845727">
        <w:rPr>
          <w:sz w:val="22"/>
          <w:szCs w:val="22"/>
        </w:rPr>
        <w:t>Daň za doterajší rezortný prístup je úpadok rozvoja vidieka. Súčasťou koncepčného materiálu pre rozvoj vidieka má byť súvisiac</w:t>
      </w:r>
      <w:r w:rsidR="00871861">
        <w:rPr>
          <w:sz w:val="22"/>
          <w:szCs w:val="22"/>
        </w:rPr>
        <w:t>i</w:t>
      </w:r>
      <w:r w:rsidR="00845727">
        <w:rPr>
          <w:sz w:val="22"/>
          <w:szCs w:val="22"/>
        </w:rPr>
        <w:t xml:space="preserve"> akčný plán praktických, vykonateľných a potrebných krokov a opatrení.</w:t>
      </w:r>
    </w:p>
    <w:p w:rsidR="002B4B55" w:rsidRDefault="002B4B55" w:rsidP="003F556C">
      <w:pPr>
        <w:jc w:val="both"/>
      </w:pPr>
    </w:p>
    <w:p w:rsidR="00F4394A" w:rsidRDefault="00F4394A" w:rsidP="003F556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Priebeh konferencie</w:t>
      </w:r>
    </w:p>
    <w:p w:rsidR="00F4394A" w:rsidRPr="00A472C4" w:rsidRDefault="00F4394A" w:rsidP="00F4394A">
      <w:pPr>
        <w:jc w:val="both"/>
        <w:rPr>
          <w:sz w:val="22"/>
          <w:szCs w:val="22"/>
        </w:rPr>
      </w:pPr>
      <w:r w:rsidRPr="00A472C4">
        <w:rPr>
          <w:sz w:val="22"/>
          <w:szCs w:val="22"/>
        </w:rPr>
        <w:t>Jednodňová konferencia bola otvorená pre všetkých, ktorí chcú prispieť a podporovať „</w:t>
      </w:r>
      <w:r w:rsidRPr="00A472C4">
        <w:rPr>
          <w:i/>
          <w:sz w:val="22"/>
          <w:szCs w:val="22"/>
        </w:rPr>
        <w:t>Atraktívnejší vidiek</w:t>
      </w:r>
      <w:r w:rsidRPr="00A472C4">
        <w:rPr>
          <w:sz w:val="22"/>
          <w:szCs w:val="22"/>
        </w:rPr>
        <w:t>“: orgány verejnej moci, akademické, výskumné a inovačné organizácie, stavovské</w:t>
      </w:r>
      <w:r w:rsidR="00692D63">
        <w:rPr>
          <w:sz w:val="22"/>
          <w:szCs w:val="22"/>
        </w:rPr>
        <w:t xml:space="preserve"> a rezortné výskumné</w:t>
      </w:r>
      <w:r w:rsidRPr="00A472C4">
        <w:rPr>
          <w:sz w:val="22"/>
          <w:szCs w:val="22"/>
        </w:rPr>
        <w:t xml:space="preserve"> organizácie, občianske združenia, občiansk</w:t>
      </w:r>
      <w:r w:rsidR="00871861">
        <w:rPr>
          <w:sz w:val="22"/>
          <w:szCs w:val="22"/>
        </w:rPr>
        <w:t>u</w:t>
      </w:r>
      <w:r w:rsidRPr="00A472C4">
        <w:rPr>
          <w:sz w:val="22"/>
          <w:szCs w:val="22"/>
        </w:rPr>
        <w:t xml:space="preserve"> spoločnosť, </w:t>
      </w:r>
      <w:r w:rsidR="00871861" w:rsidRPr="00A472C4">
        <w:rPr>
          <w:sz w:val="22"/>
          <w:szCs w:val="22"/>
        </w:rPr>
        <w:t>podnikate</w:t>
      </w:r>
      <w:r w:rsidR="00871861">
        <w:rPr>
          <w:sz w:val="22"/>
          <w:szCs w:val="22"/>
        </w:rPr>
        <w:t>ľov</w:t>
      </w:r>
      <w:r w:rsidRPr="00A472C4">
        <w:rPr>
          <w:sz w:val="22"/>
          <w:szCs w:val="22"/>
        </w:rPr>
        <w:t xml:space="preserve">, </w:t>
      </w:r>
      <w:r w:rsidR="00871861" w:rsidRPr="00A472C4">
        <w:rPr>
          <w:sz w:val="22"/>
          <w:szCs w:val="22"/>
        </w:rPr>
        <w:t>občan</w:t>
      </w:r>
      <w:r w:rsidR="00871861">
        <w:rPr>
          <w:sz w:val="22"/>
          <w:szCs w:val="22"/>
        </w:rPr>
        <w:t>ov</w:t>
      </w:r>
      <w:r w:rsidRPr="00A472C4">
        <w:rPr>
          <w:sz w:val="22"/>
          <w:szCs w:val="22"/>
        </w:rPr>
        <w:t>.</w:t>
      </w:r>
    </w:p>
    <w:p w:rsidR="00F4394A" w:rsidRDefault="00E02103" w:rsidP="00F4394A">
      <w:pPr>
        <w:jc w:val="both"/>
        <w:rPr>
          <w:sz w:val="22"/>
          <w:szCs w:val="22"/>
        </w:rPr>
      </w:pPr>
      <w:r>
        <w:rPr>
          <w:sz w:val="22"/>
          <w:szCs w:val="22"/>
        </w:rPr>
        <w:t>Program bol rozdelený do</w:t>
      </w:r>
      <w:r w:rsidR="00F4394A" w:rsidRPr="00A472C4">
        <w:rPr>
          <w:sz w:val="22"/>
          <w:szCs w:val="22"/>
        </w:rPr>
        <w:t xml:space="preserve"> úvodnej časti</w:t>
      </w:r>
      <w:r>
        <w:rPr>
          <w:sz w:val="22"/>
          <w:szCs w:val="22"/>
        </w:rPr>
        <w:t xml:space="preserve"> s otváracími príhovormi</w:t>
      </w:r>
      <w:r w:rsidR="00F4394A" w:rsidRPr="00A472C4">
        <w:rPr>
          <w:sz w:val="22"/>
          <w:szCs w:val="22"/>
        </w:rPr>
        <w:t xml:space="preserve"> a</w:t>
      </w:r>
      <w:r>
        <w:rPr>
          <w:sz w:val="22"/>
          <w:szCs w:val="22"/>
        </w:rPr>
        <w:t> </w:t>
      </w:r>
      <w:r w:rsidR="00F4394A" w:rsidRPr="00A472C4">
        <w:rPr>
          <w:sz w:val="22"/>
          <w:szCs w:val="22"/>
        </w:rPr>
        <w:t>troch</w:t>
      </w:r>
      <w:r>
        <w:rPr>
          <w:sz w:val="22"/>
          <w:szCs w:val="22"/>
        </w:rPr>
        <w:t xml:space="preserve"> nasledovných</w:t>
      </w:r>
      <w:r w:rsidR="00F4394A" w:rsidRPr="00A472C4">
        <w:rPr>
          <w:sz w:val="22"/>
          <w:szCs w:val="22"/>
        </w:rPr>
        <w:t xml:space="preserve"> </w:t>
      </w:r>
      <w:r>
        <w:rPr>
          <w:sz w:val="22"/>
          <w:szCs w:val="22"/>
        </w:rPr>
        <w:t>blokov:</w:t>
      </w:r>
    </w:p>
    <w:p w:rsidR="00E02103" w:rsidRPr="00E02103" w:rsidRDefault="00E02103" w:rsidP="00E02103">
      <w:pPr>
        <w:jc w:val="both"/>
        <w:rPr>
          <w:sz w:val="22"/>
          <w:szCs w:val="22"/>
          <w:u w:val="single"/>
        </w:rPr>
      </w:pPr>
      <w:r w:rsidRPr="00E02103">
        <w:rPr>
          <w:sz w:val="22"/>
          <w:szCs w:val="22"/>
          <w:u w:val="single"/>
        </w:rPr>
        <w:t>1. BLOK – Akými reformami naplniť víziu atraktívnejšieho vidieka na Slovensku?</w:t>
      </w:r>
    </w:p>
    <w:p w:rsidR="00E02103" w:rsidRPr="00E02103" w:rsidRDefault="00E02103" w:rsidP="00E02103">
      <w:pPr>
        <w:jc w:val="both"/>
        <w:rPr>
          <w:sz w:val="22"/>
          <w:szCs w:val="22"/>
        </w:rPr>
      </w:pPr>
      <w:r w:rsidRPr="00E02103">
        <w:rPr>
          <w:sz w:val="22"/>
          <w:szCs w:val="22"/>
        </w:rPr>
        <w:t xml:space="preserve">Inkluzívne a udržateľné vidiecke spoločenstvá v rámci podpory </w:t>
      </w:r>
      <w:r w:rsidR="00CD1281">
        <w:rPr>
          <w:sz w:val="22"/>
          <w:szCs w:val="22"/>
        </w:rPr>
        <w:t>PRV SR 2014-</w:t>
      </w:r>
      <w:r w:rsidR="00871861">
        <w:rPr>
          <w:sz w:val="22"/>
          <w:szCs w:val="22"/>
        </w:rPr>
        <w:t>20</w:t>
      </w:r>
      <w:r w:rsidR="00CD1281">
        <w:rPr>
          <w:sz w:val="22"/>
          <w:szCs w:val="22"/>
        </w:rPr>
        <w:t>22 a SP SPP 2023-</w:t>
      </w:r>
      <w:r w:rsidR="00871861">
        <w:rPr>
          <w:sz w:val="22"/>
          <w:szCs w:val="22"/>
        </w:rPr>
        <w:t>20</w:t>
      </w:r>
      <w:r w:rsidR="00CD1281">
        <w:rPr>
          <w:sz w:val="22"/>
          <w:szCs w:val="22"/>
        </w:rPr>
        <w:t>27.</w:t>
      </w:r>
      <w:r w:rsidR="00692D63">
        <w:rPr>
          <w:sz w:val="22"/>
          <w:szCs w:val="22"/>
        </w:rPr>
        <w:t xml:space="preserve"> Ekosystémové služby pôdy a krajiny a mimoprodukčné funkcie lesov, ich obnova a udržanie, ako základ klimatickej akcie na pôde, obnovy biodiverzity a podpory obehového bio-hospodárstva na vidieku.</w:t>
      </w:r>
    </w:p>
    <w:p w:rsidR="00871861" w:rsidRDefault="00871861" w:rsidP="00E02103">
      <w:pPr>
        <w:jc w:val="both"/>
        <w:rPr>
          <w:sz w:val="22"/>
          <w:szCs w:val="22"/>
          <w:u w:val="single"/>
        </w:rPr>
      </w:pPr>
    </w:p>
    <w:p w:rsidR="00B9605E" w:rsidRDefault="00B9605E" w:rsidP="00E02103">
      <w:pPr>
        <w:jc w:val="both"/>
        <w:rPr>
          <w:sz w:val="22"/>
          <w:szCs w:val="22"/>
          <w:u w:val="single"/>
        </w:rPr>
      </w:pPr>
    </w:p>
    <w:p w:rsidR="00B9605E" w:rsidRDefault="00B9605E" w:rsidP="00E02103">
      <w:pPr>
        <w:jc w:val="both"/>
        <w:rPr>
          <w:sz w:val="22"/>
          <w:szCs w:val="22"/>
          <w:u w:val="single"/>
        </w:rPr>
      </w:pPr>
    </w:p>
    <w:p w:rsidR="00E02103" w:rsidRPr="00E02103" w:rsidRDefault="00E02103" w:rsidP="00E02103">
      <w:pPr>
        <w:jc w:val="both"/>
        <w:rPr>
          <w:sz w:val="22"/>
          <w:szCs w:val="22"/>
          <w:u w:val="single"/>
        </w:rPr>
      </w:pPr>
      <w:r w:rsidRPr="00E02103">
        <w:rPr>
          <w:sz w:val="22"/>
          <w:szCs w:val="22"/>
          <w:u w:val="single"/>
        </w:rPr>
        <w:lastRenderedPageBreak/>
        <w:t>2. BLOK – Príklady dobrej praxe a možnosti podpory vidieka</w:t>
      </w:r>
    </w:p>
    <w:p w:rsidR="00E02103" w:rsidRPr="00E02103" w:rsidRDefault="00635EAC" w:rsidP="00E02103">
      <w:pPr>
        <w:jc w:val="both"/>
        <w:rPr>
          <w:sz w:val="22"/>
          <w:szCs w:val="22"/>
        </w:rPr>
      </w:pPr>
      <w:r>
        <w:rPr>
          <w:sz w:val="22"/>
          <w:szCs w:val="22"/>
        </w:rPr>
        <w:t>V úvode bol prezentovaný prístup Českej republiky k rozvoj</w:t>
      </w:r>
      <w:r w:rsidR="00871861">
        <w:rPr>
          <w:sz w:val="22"/>
          <w:szCs w:val="22"/>
        </w:rPr>
        <w:t>u</w:t>
      </w:r>
      <w:r>
        <w:rPr>
          <w:sz w:val="22"/>
          <w:szCs w:val="22"/>
        </w:rPr>
        <w:t xml:space="preserve"> vidieka. </w:t>
      </w:r>
      <w:r w:rsidR="00E02103" w:rsidRPr="00E02103">
        <w:rPr>
          <w:sz w:val="22"/>
          <w:szCs w:val="22"/>
        </w:rPr>
        <w:t>Prezentované boli príklady dobrej praxe a možnosti podpory vidieka ako flexibilné riešenia a spolupráca na všetkých úrovniach s cieľom podpory nových príležitostí pre diverzifikáciu vidieckych e</w:t>
      </w:r>
      <w:r w:rsidR="00E02103">
        <w:rPr>
          <w:sz w:val="22"/>
          <w:szCs w:val="22"/>
        </w:rPr>
        <w:t>konomík v rámci SP SPP 2023-</w:t>
      </w:r>
      <w:r w:rsidR="00871861">
        <w:rPr>
          <w:sz w:val="22"/>
          <w:szCs w:val="22"/>
        </w:rPr>
        <w:t>20</w:t>
      </w:r>
      <w:r w:rsidR="00E02103">
        <w:rPr>
          <w:sz w:val="22"/>
          <w:szCs w:val="22"/>
        </w:rPr>
        <w:t>27.</w:t>
      </w:r>
      <w:r>
        <w:rPr>
          <w:sz w:val="22"/>
          <w:szCs w:val="22"/>
        </w:rPr>
        <w:t xml:space="preserve"> Svoje skúsenosti a podporné nástroje prezentovali aj zástupcovia MD SR (v oblasti cestovného ruchu), </w:t>
      </w:r>
      <w:r w:rsidR="00871861">
        <w:rPr>
          <w:sz w:val="22"/>
          <w:szCs w:val="22"/>
        </w:rPr>
        <w:br/>
      </w:r>
      <w:r>
        <w:rPr>
          <w:sz w:val="22"/>
          <w:szCs w:val="22"/>
        </w:rPr>
        <w:t xml:space="preserve">MIRRI SR (regionálny rozvoj a OP Slovensko), ako aj zástupcovia ÚV SR (Plán obnovy a odolnosti). V rámci diskusie zazneli skúsenosti zástupcov obcí, inovačných klastrov (Konopný kluster), zástupcov neštátnych lesov, ako aj pracovníčok a spolupracovníkov MAS.   </w:t>
      </w:r>
      <w:r w:rsidR="00692D63">
        <w:rPr>
          <w:sz w:val="22"/>
          <w:szCs w:val="22"/>
        </w:rPr>
        <w:t xml:space="preserve"> </w:t>
      </w:r>
    </w:p>
    <w:p w:rsidR="00A472C4" w:rsidRDefault="00E02103" w:rsidP="00E02103">
      <w:pPr>
        <w:jc w:val="both"/>
        <w:rPr>
          <w:sz w:val="22"/>
          <w:szCs w:val="22"/>
          <w:u w:val="single"/>
        </w:rPr>
      </w:pPr>
      <w:r w:rsidRPr="00E02103">
        <w:rPr>
          <w:sz w:val="22"/>
          <w:szCs w:val="22"/>
          <w:u w:val="single"/>
        </w:rPr>
        <w:t>3. BLOK - Ako ďalej pre atraktívnejší vidiek? Hlavné odporúčania a záver konferencie</w:t>
      </w:r>
    </w:p>
    <w:p w:rsidR="00CD1281" w:rsidRDefault="00CD1281" w:rsidP="00E02103">
      <w:pPr>
        <w:jc w:val="both"/>
        <w:rPr>
          <w:sz w:val="22"/>
          <w:szCs w:val="22"/>
        </w:rPr>
      </w:pPr>
      <w:r>
        <w:rPr>
          <w:sz w:val="22"/>
          <w:szCs w:val="22"/>
        </w:rPr>
        <w:t>Všetci spoluorganizátori prezentovali hlavné odporúčania a závery ako výstupy z konferencie.</w:t>
      </w:r>
    </w:p>
    <w:p w:rsidR="00CD1281" w:rsidRPr="00CD1281" w:rsidRDefault="00CD1281" w:rsidP="00E02103">
      <w:pPr>
        <w:jc w:val="both"/>
        <w:rPr>
          <w:sz w:val="22"/>
          <w:szCs w:val="22"/>
        </w:rPr>
      </w:pPr>
    </w:p>
    <w:p w:rsidR="00F4394A" w:rsidRPr="00705D89" w:rsidRDefault="00A13A2F" w:rsidP="00F4394A">
      <w:pPr>
        <w:jc w:val="both"/>
        <w:rPr>
          <w:b/>
          <w:sz w:val="24"/>
          <w:szCs w:val="24"/>
          <w:u w:val="single"/>
          <w:lang w:val="en-US"/>
        </w:rPr>
      </w:pPr>
      <w:r w:rsidRPr="00E542D2">
        <w:rPr>
          <w:b/>
          <w:sz w:val="24"/>
          <w:szCs w:val="24"/>
          <w:u w:val="single"/>
        </w:rPr>
        <w:t>Zhrnutie diskusie</w:t>
      </w:r>
      <w:r w:rsidR="00A472C4">
        <w:rPr>
          <w:b/>
          <w:sz w:val="24"/>
          <w:szCs w:val="24"/>
          <w:u w:val="single"/>
        </w:rPr>
        <w:t xml:space="preserve"> a závery</w:t>
      </w:r>
    </w:p>
    <w:p w:rsidR="001A6227" w:rsidRPr="005D5621" w:rsidRDefault="001A6227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EK vníma pozitívne túto dôležitú iniciatívu (konferenciu) a považuje ju za veľký úspech. Spolupráca verejnej správy a Vidieckych parlamentov je kľúčová pre rozvoj vidieka, identifkovanie nedostatkov a posilnenie politík. EK do polovice 2023 zhodnotí Akčný plán</w:t>
      </w:r>
      <w:r w:rsidR="00871861">
        <w:rPr>
          <w:rFonts w:ascii="Calibri" w:hAnsi="Calibri" w:cs="Calibri"/>
          <w:sz w:val="22"/>
          <w:szCs w:val="22"/>
        </w:rPr>
        <w:br/>
      </w:r>
      <w:r w:rsidRPr="005D5621">
        <w:rPr>
          <w:rFonts w:ascii="Calibri" w:hAnsi="Calibri" w:cs="Calibri"/>
          <w:sz w:val="22"/>
          <w:szCs w:val="22"/>
        </w:rPr>
        <w:t>a v prvom štvrťroku uverejní správu.</w:t>
      </w:r>
    </w:p>
    <w:p w:rsidR="002B5799" w:rsidRPr="005D5621" w:rsidRDefault="002B5799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Slovensko je typická vidiecka krajina. 96% samospráv sú dediny (2</w:t>
      </w:r>
      <w:r w:rsidR="0087186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>661 samospráv obcí z</w:t>
      </w:r>
      <w:r w:rsidR="00871861">
        <w:rPr>
          <w:rFonts w:ascii="Calibri" w:hAnsi="Calibri" w:cs="Calibri"/>
          <w:sz w:val="22"/>
          <w:szCs w:val="22"/>
        </w:rPr>
        <w:t> </w:t>
      </w:r>
      <w:r w:rsidRPr="005D5621">
        <w:rPr>
          <w:rFonts w:ascii="Calibri" w:hAnsi="Calibri" w:cs="Calibri"/>
          <w:sz w:val="22"/>
          <w:szCs w:val="22"/>
        </w:rPr>
        <w:t>2</w:t>
      </w:r>
      <w:r w:rsidR="0087186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>928 samospráv). 477 obcí je bez vodovodu</w:t>
      </w:r>
      <w:r w:rsidR="00635EAC" w:rsidRPr="005D5621">
        <w:rPr>
          <w:rFonts w:ascii="Calibri" w:hAnsi="Calibri" w:cs="Calibri"/>
          <w:sz w:val="22"/>
          <w:szCs w:val="22"/>
        </w:rPr>
        <w:t xml:space="preserve">, </w:t>
      </w:r>
      <w:r w:rsidRPr="005D5621">
        <w:rPr>
          <w:rFonts w:ascii="Calibri" w:hAnsi="Calibri" w:cs="Calibri"/>
          <w:sz w:val="22"/>
          <w:szCs w:val="22"/>
        </w:rPr>
        <w:t>takmer 400 bez plynofikácie</w:t>
      </w:r>
      <w:r w:rsidR="00635EAC" w:rsidRPr="005D5621">
        <w:rPr>
          <w:rFonts w:ascii="Calibri" w:hAnsi="Calibri" w:cs="Calibri"/>
          <w:sz w:val="22"/>
          <w:szCs w:val="22"/>
        </w:rPr>
        <w:t>, takmer 1</w:t>
      </w:r>
      <w:r w:rsidR="00871861">
        <w:rPr>
          <w:rFonts w:ascii="Calibri" w:hAnsi="Calibri" w:cs="Calibri"/>
          <w:sz w:val="22"/>
          <w:szCs w:val="22"/>
        </w:rPr>
        <w:t xml:space="preserve"> </w:t>
      </w:r>
      <w:r w:rsidR="00635EAC" w:rsidRPr="005D5621">
        <w:rPr>
          <w:rFonts w:ascii="Calibri" w:hAnsi="Calibri" w:cs="Calibri"/>
          <w:sz w:val="22"/>
          <w:szCs w:val="22"/>
        </w:rPr>
        <w:t>600 obcí nemá zabezpečené čistenie komunálnych odpadových vôd</w:t>
      </w:r>
      <w:r w:rsidRPr="005D5621">
        <w:rPr>
          <w:rFonts w:ascii="Calibri" w:hAnsi="Calibri" w:cs="Calibri"/>
          <w:sz w:val="22"/>
          <w:szCs w:val="22"/>
        </w:rPr>
        <w:t>. Za posledných 20 rokov narástol počet ľudí na vidieku o 240 tisíc a klesol o 160 tisíc v mestách.</w:t>
      </w:r>
    </w:p>
    <w:p w:rsidR="002B5799" w:rsidRPr="005D5621" w:rsidRDefault="005616CB" w:rsidP="002B5799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Slovensko sa vyznačuje rôznorodými vidieckymi oblasťami.</w:t>
      </w:r>
    </w:p>
    <w:p w:rsidR="001A6227" w:rsidRPr="005D5621" w:rsidRDefault="000628DC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Mestá sú závislé na vidieku a bez vidieka neprežijú.</w:t>
      </w:r>
    </w:p>
    <w:p w:rsidR="001A6227" w:rsidRPr="005D5621" w:rsidRDefault="001A6227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Všetky rezorty vyjadrili z</w:t>
      </w:r>
      <w:r w:rsidR="000628DC" w:rsidRPr="005D5621">
        <w:rPr>
          <w:rFonts w:ascii="Calibri" w:hAnsi="Calibri" w:cs="Calibri"/>
          <w:sz w:val="22"/>
          <w:szCs w:val="22"/>
        </w:rPr>
        <w:t xml:space="preserve">áujem o spoluprácu </w:t>
      </w:r>
      <w:r w:rsidRPr="005D5621">
        <w:rPr>
          <w:rFonts w:ascii="Calibri" w:hAnsi="Calibri" w:cs="Calibri"/>
          <w:sz w:val="22"/>
          <w:szCs w:val="22"/>
        </w:rPr>
        <w:t xml:space="preserve">a myšlienku </w:t>
      </w:r>
      <w:r w:rsidR="000628DC" w:rsidRPr="005D5621">
        <w:rPr>
          <w:rFonts w:ascii="Calibri" w:hAnsi="Calibri" w:cs="Calibri"/>
          <w:sz w:val="22"/>
          <w:szCs w:val="22"/>
        </w:rPr>
        <w:t xml:space="preserve">vtiahnuť aj ďalšie rezorty. </w:t>
      </w:r>
      <w:r w:rsidR="00871861">
        <w:rPr>
          <w:rFonts w:ascii="Calibri" w:hAnsi="Calibri" w:cs="Calibri"/>
          <w:sz w:val="22"/>
          <w:szCs w:val="22"/>
        </w:rPr>
        <w:br/>
      </w:r>
      <w:r w:rsidRPr="005D5621">
        <w:rPr>
          <w:rFonts w:ascii="Calibri" w:hAnsi="Calibri" w:cs="Calibri"/>
          <w:sz w:val="22"/>
          <w:szCs w:val="22"/>
        </w:rPr>
        <w:t>Na regionálnej úrovni sú vytvorené spoločné pracoviská</w:t>
      </w:r>
      <w:r w:rsidR="00DE053D" w:rsidRPr="005D5621">
        <w:rPr>
          <w:rFonts w:ascii="Calibri" w:hAnsi="Calibri" w:cs="Calibri"/>
          <w:sz w:val="22"/>
          <w:szCs w:val="22"/>
        </w:rPr>
        <w:t>, regionálne centrá, vo všetkých krajských mestách</w:t>
      </w:r>
      <w:r w:rsidRPr="005D5621">
        <w:rPr>
          <w:rFonts w:ascii="Calibri" w:hAnsi="Calibri" w:cs="Calibri"/>
          <w:sz w:val="22"/>
          <w:szCs w:val="22"/>
        </w:rPr>
        <w:t>. Prezentovali sa podnety, ako sa dá bližšie spolupracovať a lepšie využiť existujúci potenciál a prekonať rezortizmus.</w:t>
      </w:r>
    </w:p>
    <w:p w:rsidR="00635EAC" w:rsidRPr="005D5621" w:rsidRDefault="00635EAC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Vidiek bude atraktívnejší vtedy, ak bude istota v rámci hospodárskeho fungovania, sociálneho a inštitucionálneho zabezpečenia podpory vidieka, ak nebude rásť administratívna záťaž života na vidieku, čo sa často deje pr</w:t>
      </w:r>
      <w:r w:rsidR="005C421F">
        <w:rPr>
          <w:rFonts w:ascii="Calibri" w:hAnsi="Calibri" w:cs="Calibri"/>
          <w:sz w:val="22"/>
          <w:szCs w:val="22"/>
        </w:rPr>
        <w:t>I</w:t>
      </w:r>
      <w:r w:rsidRPr="005D5621">
        <w:rPr>
          <w:rFonts w:ascii="Calibri" w:hAnsi="Calibri" w:cs="Calibri"/>
          <w:sz w:val="22"/>
          <w:szCs w:val="22"/>
        </w:rPr>
        <w:t xml:space="preserve"> veľmi častom vyhlasovaní nových a nových chránených území, bez revízie v minulosti vyhlásených chránených území a ich ochranných pásiem.  </w:t>
      </w:r>
    </w:p>
    <w:p w:rsidR="001A6227" w:rsidRPr="005D5621" w:rsidRDefault="000628DC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Vyslali sme signál, že na vidieku nám záleží a urobíme všetko preto</w:t>
      </w:r>
      <w:r w:rsidR="005C421F">
        <w:rPr>
          <w:rFonts w:ascii="Calibri" w:hAnsi="Calibri" w:cs="Calibri"/>
          <w:sz w:val="22"/>
          <w:szCs w:val="22"/>
        </w:rPr>
        <w:t>,</w:t>
      </w:r>
      <w:r w:rsidRPr="005D5621">
        <w:rPr>
          <w:rFonts w:ascii="Calibri" w:hAnsi="Calibri" w:cs="Calibri"/>
          <w:sz w:val="22"/>
          <w:szCs w:val="22"/>
        </w:rPr>
        <w:t xml:space="preserve"> aby bol atraktívnejší.</w:t>
      </w:r>
    </w:p>
    <w:p w:rsidR="001A6227" w:rsidRPr="005D5621" w:rsidRDefault="00705D89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Na úrovni miest a obcí sa stretávajú všetky verejné politiky. </w:t>
      </w:r>
      <w:r w:rsidR="00635EAC" w:rsidRPr="005D5621">
        <w:rPr>
          <w:rFonts w:ascii="Calibri" w:hAnsi="Calibri" w:cs="Calibri"/>
          <w:sz w:val="22"/>
          <w:szCs w:val="22"/>
        </w:rPr>
        <w:t>Na pôde sa stretávajú</w:t>
      </w:r>
      <w:r w:rsidR="008479C2" w:rsidRPr="005D5621">
        <w:rPr>
          <w:rFonts w:ascii="Calibri" w:hAnsi="Calibri" w:cs="Calibri"/>
          <w:sz w:val="22"/>
          <w:szCs w:val="22"/>
        </w:rPr>
        <w:t xml:space="preserve"> všetky enviro-klimatické politiky verejného sektora a ciele udržateľného rozvoja, ich vykonávateľom je na konci užívateľ  a vlastník pôdy.</w:t>
      </w:r>
      <w:r w:rsidR="00635EAC" w:rsidRPr="005D5621">
        <w:rPr>
          <w:rFonts w:ascii="Calibri" w:hAnsi="Calibri" w:cs="Calibri"/>
          <w:sz w:val="22"/>
          <w:szCs w:val="22"/>
        </w:rPr>
        <w:t xml:space="preserve"> </w:t>
      </w:r>
    </w:p>
    <w:p w:rsidR="001A6227" w:rsidRPr="005D5621" w:rsidRDefault="00705D89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Pôda je iba jedna a na nej máme zabezpečiť produkčné aj mimoprodukčné funkcie. </w:t>
      </w:r>
    </w:p>
    <w:p w:rsidR="001A6227" w:rsidRPr="005D5621" w:rsidRDefault="00705D89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Dôležité je partnerstvo, spolupráca obcí, susedov. Z toho vznikajú dobré riešenia.</w:t>
      </w:r>
    </w:p>
    <w:p w:rsidR="005616CB" w:rsidRPr="005D5621" w:rsidRDefault="005616CB" w:rsidP="005616CB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Nikto nepozná osobitosti a možnosti vidieka tak</w:t>
      </w:r>
      <w:r w:rsidR="005C421F">
        <w:rPr>
          <w:rFonts w:ascii="Calibri" w:hAnsi="Calibri" w:cs="Calibri"/>
          <w:sz w:val="22"/>
          <w:szCs w:val="22"/>
        </w:rPr>
        <w:t>,</w:t>
      </w:r>
      <w:r w:rsidRPr="005D5621">
        <w:rPr>
          <w:rFonts w:ascii="Calibri" w:hAnsi="Calibri" w:cs="Calibri"/>
          <w:sz w:val="22"/>
          <w:szCs w:val="22"/>
        </w:rPr>
        <w:t xml:space="preserve"> ako ľudia, ktorí v ňom žijú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1A6227" w:rsidRPr="005D5621" w:rsidRDefault="005616CB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Pozitívny rozvoj vidieka bez spolupráce všetkých zainteresovaných je len ťažko možný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B276B4" w:rsidRPr="005D5621" w:rsidRDefault="00B276B4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lastRenderedPageBreak/>
        <w:t>Vidiek by mal ostať vidiekom maximálne sebestačný a zameraný najmä na poľnohospodárstvo a  výrobu základných potravín</w:t>
      </w:r>
      <w:r w:rsidR="005C421F">
        <w:rPr>
          <w:rFonts w:ascii="Calibri" w:hAnsi="Calibri" w:cs="Calibri"/>
          <w:sz w:val="22"/>
          <w:szCs w:val="22"/>
        </w:rPr>
        <w:t>,</w:t>
      </w:r>
      <w:r w:rsidRPr="005D5621">
        <w:rPr>
          <w:rFonts w:ascii="Calibri" w:hAnsi="Calibri" w:cs="Calibri"/>
          <w:sz w:val="22"/>
          <w:szCs w:val="22"/>
        </w:rPr>
        <w:t xml:space="preserve">  najmä na produkciu zeleniny, ovocia, mäsa i mlieka a taktiež na remeslá a</w:t>
      </w:r>
      <w:r w:rsidR="005C421F">
        <w:rPr>
          <w:rFonts w:ascii="Calibri" w:hAnsi="Calibri" w:cs="Calibri"/>
          <w:sz w:val="22"/>
          <w:szCs w:val="22"/>
        </w:rPr>
        <w:t> </w:t>
      </w:r>
      <w:r w:rsidRPr="005D5621">
        <w:rPr>
          <w:rFonts w:ascii="Calibri" w:hAnsi="Calibri" w:cs="Calibri"/>
          <w:sz w:val="22"/>
          <w:szCs w:val="22"/>
        </w:rPr>
        <w:t>agroturistiku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705D89" w:rsidRPr="005D5621" w:rsidRDefault="00705D89" w:rsidP="005616CB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Dať jasný odkaz mladým ľuďom</w:t>
      </w:r>
      <w:r w:rsidR="008479C2" w:rsidRPr="005D5621">
        <w:rPr>
          <w:rFonts w:ascii="Calibri" w:hAnsi="Calibri" w:cs="Calibri"/>
          <w:sz w:val="22"/>
          <w:szCs w:val="22"/>
        </w:rPr>
        <w:t xml:space="preserve">, že môžu rozvíjať príležitosti, že môžu ovplyvniť pozitívne budúcnosť, že vidiecka krajina a sídla sú bezpečným a vynikajúcim prostredím </w:t>
      </w:r>
      <w:r w:rsidR="005C421F">
        <w:rPr>
          <w:rFonts w:ascii="Calibri" w:hAnsi="Calibri" w:cs="Calibri"/>
          <w:sz w:val="22"/>
          <w:szCs w:val="22"/>
        </w:rPr>
        <w:br/>
      </w:r>
      <w:r w:rsidR="008479C2" w:rsidRPr="005D5621">
        <w:rPr>
          <w:rFonts w:ascii="Calibri" w:hAnsi="Calibri" w:cs="Calibri"/>
          <w:sz w:val="22"/>
          <w:szCs w:val="22"/>
        </w:rPr>
        <w:t>na sebarealizáciu, pre život a</w:t>
      </w:r>
      <w:r w:rsidR="005C421F">
        <w:rPr>
          <w:rFonts w:ascii="Calibri" w:hAnsi="Calibri" w:cs="Calibri"/>
          <w:sz w:val="22"/>
          <w:szCs w:val="22"/>
        </w:rPr>
        <w:t> </w:t>
      </w:r>
      <w:r w:rsidR="008479C2" w:rsidRPr="005D5621">
        <w:rPr>
          <w:rFonts w:ascii="Calibri" w:hAnsi="Calibri" w:cs="Calibri"/>
          <w:sz w:val="22"/>
          <w:szCs w:val="22"/>
        </w:rPr>
        <w:t>prácu</w:t>
      </w:r>
      <w:r w:rsidR="005C421F">
        <w:rPr>
          <w:rFonts w:ascii="Calibri" w:hAnsi="Calibri" w:cs="Calibri"/>
          <w:sz w:val="22"/>
          <w:szCs w:val="22"/>
        </w:rPr>
        <w:t>.</w:t>
      </w:r>
      <w:r w:rsidR="008479C2" w:rsidRPr="005D5621">
        <w:rPr>
          <w:rFonts w:ascii="Calibri" w:hAnsi="Calibri" w:cs="Calibri"/>
          <w:sz w:val="22"/>
          <w:szCs w:val="22"/>
        </w:rPr>
        <w:t xml:space="preserve"> </w:t>
      </w:r>
    </w:p>
    <w:p w:rsidR="000628DC" w:rsidRPr="005D5621" w:rsidRDefault="000628DC" w:rsidP="005616CB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Chopiť sa príležitosti – najviac sme si ublížili sami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0628DC" w:rsidRPr="005D5621" w:rsidRDefault="000628DC" w:rsidP="005616CB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Alternatívne financovanie rozvoja vidieka podľa vzoru ČR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5616CB" w:rsidRPr="005D5621" w:rsidRDefault="005616CB" w:rsidP="005616CB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Receptom na úspech rozvoja slovenského vidieka je prepojenie vedomostí s</w:t>
      </w:r>
      <w:r w:rsidR="005C421F">
        <w:rPr>
          <w:rFonts w:ascii="Calibri" w:hAnsi="Calibri" w:cs="Calibri"/>
          <w:sz w:val="22"/>
          <w:szCs w:val="22"/>
        </w:rPr>
        <w:t> </w:t>
      </w:r>
      <w:r w:rsidRPr="005D5621">
        <w:rPr>
          <w:rFonts w:ascii="Calibri" w:hAnsi="Calibri" w:cs="Calibri"/>
          <w:sz w:val="22"/>
          <w:szCs w:val="22"/>
        </w:rPr>
        <w:t>konaním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5616CB" w:rsidRPr="005D5621" w:rsidRDefault="005616CB" w:rsidP="005616CB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Tvorba priaznivých podnikateľských podmienok pre rozvoj efektívnej poľnohospodárskej výroby, zlepšenie kvality života vidieckeho obyvateľstva prostredníctvom rastu životnej úrovne, vytvárania primeraného sociálneho prostredia a rozvíjania činnosti vidieka  sú súčasťou jednotlivých opatrení  PRV SR 2014 – 2022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F63433" w:rsidRPr="005D5621" w:rsidRDefault="005616CB" w:rsidP="005616CB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Zabezpečenie zdravých a kvalitných potravín za primerané ceny, vytvorenie podmienok pre rozvoj životaschopných fariem, klimatická zmena a environmentálne výzvy, využívanie inovácií a nových technológií, zastavenie vyľudňovania vidieka a podpora jeho rozvoja sú kľúčové priority SP SPP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605C87" w:rsidRPr="005D5621" w:rsidRDefault="00605C87" w:rsidP="00605C8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Potreba konať: Vidiecke oblasti v zásadnej miere prispievajú k udržaniu stability klímy, rekreácii, ochrane biodiverzity, podpore verejného zdravia, kultúrnej rozmanitosti, sociálnemu a hospodárskemu rozvoju a duchovnému blahobytu. </w:t>
      </w:r>
    </w:p>
    <w:p w:rsidR="00605C87" w:rsidRPr="005D5621" w:rsidRDefault="00605C87" w:rsidP="00605C8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Vidiek si zaslúži úctu všetkých občanov a najmä tých, ktorí sú zodpovední za všetky úrovne moci, vrátane politikov a podnikov – ciele a priority </w:t>
      </w:r>
      <w:r w:rsidR="005C421F">
        <w:rPr>
          <w:rFonts w:ascii="Calibri" w:hAnsi="Calibri" w:cs="Calibri"/>
          <w:sz w:val="22"/>
          <w:szCs w:val="22"/>
        </w:rPr>
        <w:t xml:space="preserve">SP </w:t>
      </w:r>
      <w:r w:rsidRPr="005D5621">
        <w:rPr>
          <w:rFonts w:ascii="Calibri" w:hAnsi="Calibri" w:cs="Calibri"/>
          <w:sz w:val="22"/>
          <w:szCs w:val="22"/>
        </w:rPr>
        <w:t>SPP.</w:t>
      </w:r>
    </w:p>
    <w:p w:rsidR="001A6227" w:rsidRPr="005D5621" w:rsidRDefault="00705D89" w:rsidP="00605C8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Nikto z nás tu nemusel byť, ale chcel byť – agenda živý vidiek. </w:t>
      </w:r>
    </w:p>
    <w:p w:rsidR="00705D89" w:rsidRPr="005D5621" w:rsidRDefault="00705D89" w:rsidP="00605C8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Slovensko ako typická vidiecka krajina potrebuje systematický rozvoj vidieka, na ktorom je postavený každý kút Slovenska. </w:t>
      </w:r>
    </w:p>
    <w:p w:rsidR="00396385" w:rsidRPr="005D5621" w:rsidRDefault="001569F6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Lesnícko-drevársky komplex je dôležitý z hľadiska lesníckej bioekonomiky</w:t>
      </w:r>
      <w:r w:rsidR="001A6227" w:rsidRPr="005D5621">
        <w:rPr>
          <w:rFonts w:ascii="Calibri" w:hAnsi="Calibri" w:cs="Calibri"/>
          <w:sz w:val="22"/>
          <w:szCs w:val="22"/>
        </w:rPr>
        <w:t xml:space="preserve">, ktorá je založená </w:t>
      </w:r>
      <w:r w:rsidR="005C421F">
        <w:rPr>
          <w:rFonts w:ascii="Calibri" w:hAnsi="Calibri" w:cs="Calibri"/>
          <w:sz w:val="22"/>
          <w:szCs w:val="22"/>
        </w:rPr>
        <w:br/>
      </w:r>
      <w:r w:rsidR="001A6227" w:rsidRPr="005D5621">
        <w:rPr>
          <w:rFonts w:ascii="Calibri" w:hAnsi="Calibri" w:cs="Calibri"/>
          <w:sz w:val="22"/>
          <w:szCs w:val="22"/>
        </w:rPr>
        <w:t>na prírodnom zdroji – les a je</w:t>
      </w:r>
      <w:r w:rsidRPr="005D5621">
        <w:rPr>
          <w:rFonts w:ascii="Calibri" w:hAnsi="Calibri" w:cs="Calibri"/>
          <w:sz w:val="22"/>
          <w:szCs w:val="22"/>
        </w:rPr>
        <w:t xml:space="preserve"> inovatívna, inkluzívna a trvalo udržateľná – vychádza z používania všetkých funkcií lesa, produkčných aj mimoprodukčných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02645E" w:rsidRPr="005D5621" w:rsidRDefault="0002645E" w:rsidP="0002645E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Drevo je </w:t>
      </w:r>
      <w:r w:rsidR="008479C2" w:rsidRPr="005D5621">
        <w:rPr>
          <w:rFonts w:ascii="Calibri" w:hAnsi="Calibri" w:cs="Calibri"/>
          <w:sz w:val="22"/>
          <w:szCs w:val="22"/>
        </w:rPr>
        <w:t>strategická obnoviteľná surovina, stromy a rastliny nástroj</w:t>
      </w:r>
      <w:r w:rsidRPr="005D5621">
        <w:rPr>
          <w:rFonts w:ascii="Calibri" w:hAnsi="Calibri" w:cs="Calibri"/>
          <w:sz w:val="22"/>
          <w:szCs w:val="22"/>
        </w:rPr>
        <w:t xml:space="preserve"> boja proti zmenám klímy.</w:t>
      </w:r>
    </w:p>
    <w:p w:rsidR="00396385" w:rsidRPr="005D5621" w:rsidRDefault="00B276B4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Na v</w:t>
      </w:r>
      <w:r w:rsidR="00396385" w:rsidRPr="005D5621">
        <w:rPr>
          <w:rFonts w:ascii="Calibri" w:hAnsi="Calibri" w:cs="Calibri"/>
          <w:sz w:val="22"/>
          <w:szCs w:val="22"/>
        </w:rPr>
        <w:t>idiek by</w:t>
      </w:r>
      <w:r w:rsidRPr="005D5621">
        <w:rPr>
          <w:rFonts w:ascii="Calibri" w:hAnsi="Calibri" w:cs="Calibri"/>
          <w:sz w:val="22"/>
          <w:szCs w:val="22"/>
        </w:rPr>
        <w:t xml:space="preserve"> sa moh</w:t>
      </w:r>
      <w:r w:rsidR="00396385" w:rsidRPr="005D5621">
        <w:rPr>
          <w:rFonts w:ascii="Calibri" w:hAnsi="Calibri" w:cs="Calibri"/>
          <w:sz w:val="22"/>
          <w:szCs w:val="22"/>
        </w:rPr>
        <w:t>l</w:t>
      </w:r>
      <w:r w:rsidRPr="005D5621">
        <w:rPr>
          <w:rFonts w:ascii="Calibri" w:hAnsi="Calibri" w:cs="Calibri"/>
          <w:sz w:val="22"/>
          <w:szCs w:val="22"/>
        </w:rPr>
        <w:t>o nahliadať</w:t>
      </w:r>
      <w:r w:rsidR="00396385" w:rsidRPr="005D5621">
        <w:rPr>
          <w:rFonts w:ascii="Calibri" w:hAnsi="Calibri" w:cs="Calibri"/>
          <w:sz w:val="22"/>
          <w:szCs w:val="22"/>
        </w:rPr>
        <w:t xml:space="preserve"> interdisciplin</w:t>
      </w:r>
      <w:r w:rsidRPr="005D5621">
        <w:rPr>
          <w:rFonts w:ascii="Calibri" w:hAnsi="Calibri" w:cs="Calibri"/>
          <w:sz w:val="22"/>
          <w:szCs w:val="22"/>
        </w:rPr>
        <w:t>árne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396385" w:rsidRPr="005D5621" w:rsidRDefault="00396385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Máme minimálne 102 potravinových púšti – bez potravín v dedine – dostupnosť potravín je služba vo verejnom záujme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396385" w:rsidRPr="005D5621" w:rsidRDefault="00396385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Silná solidarita na dedinách – málo bezdomovcov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396385" w:rsidRPr="005D5621" w:rsidRDefault="00396385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Obrovský potenciál cestovného ruchu</w:t>
      </w:r>
      <w:r w:rsidR="001A6227" w:rsidRPr="005D5621">
        <w:rPr>
          <w:rFonts w:ascii="Calibri" w:hAnsi="Calibri" w:cs="Calibri"/>
          <w:sz w:val="22"/>
          <w:szCs w:val="22"/>
        </w:rPr>
        <w:t xml:space="preserve">, najmä v oblasti agroturizmu a vidieckeho </w:t>
      </w:r>
      <w:r w:rsidR="0002645E" w:rsidRPr="005D5621">
        <w:rPr>
          <w:rFonts w:ascii="Calibri" w:hAnsi="Calibri" w:cs="Calibri"/>
          <w:sz w:val="22"/>
          <w:szCs w:val="22"/>
        </w:rPr>
        <w:t xml:space="preserve">turizmu, </w:t>
      </w:r>
      <w:r w:rsidR="005C421F">
        <w:rPr>
          <w:rFonts w:ascii="Calibri" w:hAnsi="Calibri" w:cs="Calibri"/>
          <w:sz w:val="22"/>
          <w:szCs w:val="22"/>
        </w:rPr>
        <w:br/>
      </w:r>
      <w:r w:rsidR="0002645E" w:rsidRPr="005D5621">
        <w:rPr>
          <w:rFonts w:ascii="Calibri" w:hAnsi="Calibri" w:cs="Calibri"/>
          <w:sz w:val="22"/>
          <w:szCs w:val="22"/>
        </w:rPr>
        <w:t>po ktorom je dopyt, pozornosť treba venovať aj nízkokapacitným ubytovaniam</w:t>
      </w:r>
      <w:r w:rsidR="005C421F">
        <w:rPr>
          <w:rFonts w:ascii="Calibri" w:hAnsi="Calibri" w:cs="Calibri"/>
          <w:sz w:val="22"/>
          <w:szCs w:val="22"/>
        </w:rPr>
        <w:t>.</w:t>
      </w:r>
      <w:r w:rsidR="0002645E" w:rsidRPr="005D5621">
        <w:rPr>
          <w:rFonts w:ascii="Calibri" w:hAnsi="Calibri" w:cs="Calibri"/>
          <w:sz w:val="22"/>
          <w:szCs w:val="22"/>
        </w:rPr>
        <w:t xml:space="preserve"> </w:t>
      </w:r>
    </w:p>
    <w:p w:rsidR="00100CF1" w:rsidRPr="005D5621" w:rsidRDefault="00396385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Vidiek potrebuje systematickú podporu medziobecnej spolupráce a výraznú pozornosť</w:t>
      </w:r>
      <w:r w:rsidR="001A6227" w:rsidRPr="005D5621">
        <w:rPr>
          <w:rFonts w:ascii="Calibri" w:hAnsi="Calibri" w:cs="Calibri"/>
          <w:sz w:val="22"/>
          <w:szCs w:val="22"/>
        </w:rPr>
        <w:t>,</w:t>
      </w:r>
      <w:r w:rsidRPr="005D5621">
        <w:rPr>
          <w:rFonts w:ascii="Calibri" w:hAnsi="Calibri" w:cs="Calibri"/>
          <w:sz w:val="22"/>
          <w:szCs w:val="22"/>
        </w:rPr>
        <w:t xml:space="preserve"> dostupnosť služieb a obslužnosti územia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100CF1" w:rsidRPr="005D5621" w:rsidRDefault="001A6227" w:rsidP="001A622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Na vidiek bol zaznamenaný nárast dôchodcov zo</w:t>
      </w:r>
      <w:r w:rsidR="00100CF1" w:rsidRPr="005D5621">
        <w:rPr>
          <w:rFonts w:ascii="Calibri" w:hAnsi="Calibri" w:cs="Calibri"/>
          <w:sz w:val="22"/>
          <w:szCs w:val="22"/>
        </w:rPr>
        <w:t xml:space="preserve"> 400 tisíc na 1,2 miliónov</w:t>
      </w:r>
      <w:r w:rsidRPr="005D5621">
        <w:rPr>
          <w:rFonts w:ascii="Calibri" w:hAnsi="Calibri" w:cs="Calibri"/>
          <w:sz w:val="22"/>
          <w:szCs w:val="22"/>
        </w:rPr>
        <w:t xml:space="preserve">, čo predstavuje </w:t>
      </w:r>
      <w:r w:rsidR="00100CF1" w:rsidRPr="005D5621">
        <w:rPr>
          <w:rFonts w:ascii="Calibri" w:hAnsi="Calibri" w:cs="Calibri"/>
          <w:sz w:val="22"/>
          <w:szCs w:val="22"/>
        </w:rPr>
        <w:t xml:space="preserve">obrovský potenciál </w:t>
      </w:r>
      <w:r w:rsidRPr="005D5621">
        <w:rPr>
          <w:rFonts w:ascii="Calibri" w:hAnsi="Calibri" w:cs="Calibri"/>
          <w:sz w:val="22"/>
          <w:szCs w:val="22"/>
        </w:rPr>
        <w:t xml:space="preserve">v oblasti </w:t>
      </w:r>
      <w:r w:rsidR="00100CF1" w:rsidRPr="005D5621">
        <w:rPr>
          <w:rFonts w:ascii="Calibri" w:hAnsi="Calibri" w:cs="Calibri"/>
          <w:sz w:val="22"/>
          <w:szCs w:val="22"/>
        </w:rPr>
        <w:t>sociálnych služieb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B276B4" w:rsidRPr="005D5621" w:rsidRDefault="00100CF1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Neskloňujeme problémy, ale formulujeme riešenia. </w:t>
      </w:r>
    </w:p>
    <w:p w:rsidR="0002645E" w:rsidRPr="005D5621" w:rsidRDefault="00B276B4" w:rsidP="0002645E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lastRenderedPageBreak/>
        <w:t xml:space="preserve">Ekosystémové služby </w:t>
      </w:r>
      <w:r w:rsidR="008479C2" w:rsidRPr="005D5621">
        <w:rPr>
          <w:rFonts w:ascii="Calibri" w:hAnsi="Calibri" w:cs="Calibri"/>
          <w:sz w:val="22"/>
          <w:szCs w:val="22"/>
        </w:rPr>
        <w:t xml:space="preserve">pôdy a krajiny </w:t>
      </w:r>
      <w:r w:rsidRPr="005D5621">
        <w:rPr>
          <w:rFonts w:ascii="Calibri" w:hAnsi="Calibri" w:cs="Calibri"/>
          <w:sz w:val="22"/>
          <w:szCs w:val="22"/>
        </w:rPr>
        <w:t xml:space="preserve">sú </w:t>
      </w:r>
      <w:r w:rsidR="008479C2" w:rsidRPr="005D5621">
        <w:rPr>
          <w:rFonts w:ascii="Calibri" w:hAnsi="Calibri" w:cs="Calibri"/>
          <w:sz w:val="22"/>
          <w:szCs w:val="22"/>
        </w:rPr>
        <w:t xml:space="preserve">zásadná </w:t>
      </w:r>
      <w:r w:rsidRPr="005D5621">
        <w:rPr>
          <w:rFonts w:ascii="Calibri" w:hAnsi="Calibri" w:cs="Calibri"/>
          <w:sz w:val="22"/>
          <w:szCs w:val="22"/>
        </w:rPr>
        <w:t xml:space="preserve">príležitosť pre </w:t>
      </w:r>
      <w:r w:rsidR="008479C2" w:rsidRPr="005D5621">
        <w:rPr>
          <w:rFonts w:ascii="Calibri" w:hAnsi="Calibri" w:cs="Calibri"/>
          <w:sz w:val="22"/>
          <w:szCs w:val="22"/>
        </w:rPr>
        <w:t>rozvoj vidieka. Ich obnova a udržanie je kľúčové, prináša znižovanie rizík, ozdravenie klímy a obnovu biodiverzity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02645E" w:rsidRPr="005D5621" w:rsidRDefault="0002645E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MAS-ky – nedoceňujú sa miestni odborníci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02645E" w:rsidRPr="005D5621" w:rsidRDefault="0002645E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Plánuje sa prijať úplne nový zákon o regionálnom rozvoji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02645E" w:rsidRPr="005D5621" w:rsidRDefault="0002645E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Asi 50 mld</w:t>
      </w:r>
      <w:r w:rsidR="008479C2" w:rsidRPr="005D5621">
        <w:rPr>
          <w:rFonts w:ascii="Calibri" w:hAnsi="Calibri" w:cs="Calibri"/>
          <w:sz w:val="22"/>
          <w:szCs w:val="22"/>
        </w:rPr>
        <w:t>.</w:t>
      </w:r>
      <w:r w:rsidRPr="005D5621">
        <w:rPr>
          <w:rFonts w:ascii="Calibri" w:hAnsi="Calibri" w:cs="Calibri"/>
          <w:sz w:val="22"/>
          <w:szCs w:val="22"/>
        </w:rPr>
        <w:t xml:space="preserve"> euro predstavuje investičný dlh na Slovensku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D03FD3" w:rsidRPr="005D5621" w:rsidRDefault="00DE053D" w:rsidP="00DE053D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Absentuje informačný </w:t>
      </w:r>
      <w:r w:rsidR="008479C2" w:rsidRPr="005D5621">
        <w:rPr>
          <w:rFonts w:ascii="Calibri" w:hAnsi="Calibri" w:cs="Calibri"/>
          <w:sz w:val="22"/>
          <w:szCs w:val="22"/>
        </w:rPr>
        <w:t xml:space="preserve">a monitorovací </w:t>
      </w:r>
      <w:r w:rsidRPr="005D5621">
        <w:rPr>
          <w:rFonts w:ascii="Calibri" w:hAnsi="Calibri" w:cs="Calibri"/>
          <w:sz w:val="22"/>
          <w:szCs w:val="22"/>
        </w:rPr>
        <w:t>systém obhospodarovania</w:t>
      </w:r>
      <w:r w:rsidR="008479C2" w:rsidRPr="005D5621">
        <w:rPr>
          <w:rFonts w:ascii="Calibri" w:hAnsi="Calibri" w:cs="Calibri"/>
          <w:sz w:val="22"/>
          <w:szCs w:val="22"/>
        </w:rPr>
        <w:t xml:space="preserve"> a stavu</w:t>
      </w:r>
      <w:r w:rsidRPr="005D5621">
        <w:rPr>
          <w:rFonts w:ascii="Calibri" w:hAnsi="Calibri" w:cs="Calibri"/>
          <w:sz w:val="22"/>
          <w:szCs w:val="22"/>
        </w:rPr>
        <w:t xml:space="preserve"> pôdy</w:t>
      </w:r>
      <w:r w:rsidR="008479C2" w:rsidRPr="005D5621">
        <w:rPr>
          <w:rFonts w:ascii="Calibri" w:hAnsi="Calibri" w:cs="Calibri"/>
          <w:sz w:val="22"/>
          <w:szCs w:val="22"/>
        </w:rPr>
        <w:t xml:space="preserve">. Z uvedeného dôvodu MPRV SR pripravuje vytvorenie jednotného Informačného a monitorovacieho systému </w:t>
      </w:r>
      <w:r w:rsidR="008479C2" w:rsidRPr="005D5621">
        <w:rPr>
          <w:rFonts w:ascii="Calibri" w:hAnsi="Calibri" w:cs="Calibri"/>
          <w:caps/>
          <w:sz w:val="22"/>
          <w:szCs w:val="22"/>
        </w:rPr>
        <w:t>pôda</w:t>
      </w:r>
      <w:r w:rsidR="008479C2" w:rsidRPr="005D5621">
        <w:rPr>
          <w:rFonts w:ascii="Calibri" w:hAnsi="Calibri" w:cs="Calibri"/>
          <w:sz w:val="22"/>
          <w:szCs w:val="22"/>
        </w:rPr>
        <w:t>, ktorý navzájom prepojí viacero samostatných informačných a monitorovacích systémov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D03FD3" w:rsidRPr="005D5621" w:rsidRDefault="00100CF1" w:rsidP="005D5621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Certifikačný systém „Uhlíková a vodná banka“ – hodnotenie a financovanie ekosystémových služieb pôdy a krajiny – obehové biohospodárstvo – skĺbiť dva procesy</w:t>
      </w:r>
      <w:r w:rsidR="00B276B4" w:rsidRPr="005D5621">
        <w:rPr>
          <w:rFonts w:ascii="Calibri" w:hAnsi="Calibri" w:cs="Calibri"/>
          <w:sz w:val="22"/>
          <w:szCs w:val="22"/>
        </w:rPr>
        <w:t>:</w:t>
      </w:r>
      <w:r w:rsidRPr="005D5621">
        <w:rPr>
          <w:rFonts w:ascii="Calibri" w:hAnsi="Calibri" w:cs="Calibri"/>
          <w:sz w:val="22"/>
          <w:szCs w:val="22"/>
        </w:rPr>
        <w:t xml:space="preserve"> potreby ekonomické a</w:t>
      </w:r>
      <w:r w:rsidR="00D03FD3" w:rsidRPr="005D5621">
        <w:rPr>
          <w:rFonts w:ascii="Calibri" w:hAnsi="Calibri" w:cs="Calibri"/>
          <w:sz w:val="22"/>
          <w:szCs w:val="22"/>
        </w:rPr>
        <w:t> </w:t>
      </w:r>
      <w:r w:rsidRPr="005D5621">
        <w:rPr>
          <w:rFonts w:ascii="Calibri" w:hAnsi="Calibri" w:cs="Calibri"/>
          <w:sz w:val="22"/>
          <w:szCs w:val="22"/>
        </w:rPr>
        <w:t>sociálne</w:t>
      </w:r>
      <w:r w:rsidR="00D03FD3" w:rsidRPr="005D5621">
        <w:rPr>
          <w:rFonts w:ascii="Calibri" w:hAnsi="Calibri" w:cs="Calibri"/>
          <w:sz w:val="22"/>
          <w:szCs w:val="22"/>
        </w:rPr>
        <w:t xml:space="preserve">, i </w:t>
      </w:r>
      <w:r w:rsidRPr="005D5621">
        <w:rPr>
          <w:rFonts w:ascii="Calibri" w:hAnsi="Calibri" w:cs="Calibri"/>
          <w:sz w:val="22"/>
          <w:szCs w:val="22"/>
        </w:rPr>
        <w:t>udržanie prostredia</w:t>
      </w:r>
      <w:r w:rsidR="00D03FD3" w:rsidRPr="005D5621">
        <w:rPr>
          <w:rFonts w:ascii="Calibri" w:hAnsi="Calibri" w:cs="Calibri"/>
          <w:sz w:val="22"/>
          <w:szCs w:val="22"/>
        </w:rPr>
        <w:t>,</w:t>
      </w:r>
      <w:r w:rsidRPr="005D5621">
        <w:rPr>
          <w:rFonts w:ascii="Calibri" w:hAnsi="Calibri" w:cs="Calibri"/>
          <w:sz w:val="22"/>
          <w:szCs w:val="22"/>
        </w:rPr>
        <w:t xml:space="preserve"> aby poskytovalo eko</w:t>
      </w:r>
      <w:r w:rsidR="00D03FD3" w:rsidRPr="005D5621">
        <w:rPr>
          <w:rFonts w:ascii="Calibri" w:hAnsi="Calibri" w:cs="Calibri"/>
          <w:sz w:val="22"/>
          <w:szCs w:val="22"/>
        </w:rPr>
        <w:t>systémové</w:t>
      </w:r>
      <w:r w:rsidRPr="005D5621">
        <w:rPr>
          <w:rFonts w:ascii="Calibri" w:hAnsi="Calibri" w:cs="Calibri"/>
          <w:sz w:val="22"/>
          <w:szCs w:val="22"/>
        </w:rPr>
        <w:t xml:space="preserve"> služby</w:t>
      </w:r>
      <w:r w:rsidR="00D03FD3" w:rsidRPr="005D5621">
        <w:rPr>
          <w:rFonts w:ascii="Calibri" w:hAnsi="Calibri" w:cs="Calibri"/>
          <w:sz w:val="22"/>
          <w:szCs w:val="22"/>
        </w:rPr>
        <w:t xml:space="preserve">. </w:t>
      </w:r>
      <w:r w:rsidR="0039008C" w:rsidRPr="005D5621">
        <w:rPr>
          <w:rFonts w:ascii="Calibri" w:hAnsi="Calibri" w:cs="Calibri"/>
          <w:sz w:val="22"/>
          <w:szCs w:val="22"/>
        </w:rPr>
        <w:t>Reálna, sy</w:t>
      </w:r>
      <w:r w:rsidR="00B276B4" w:rsidRPr="005D5621">
        <w:rPr>
          <w:rFonts w:ascii="Calibri" w:hAnsi="Calibri" w:cs="Calibri"/>
          <w:sz w:val="22"/>
          <w:szCs w:val="22"/>
        </w:rPr>
        <w:t>s</w:t>
      </w:r>
      <w:r w:rsidR="0039008C" w:rsidRPr="005D5621">
        <w:rPr>
          <w:rFonts w:ascii="Calibri" w:hAnsi="Calibri" w:cs="Calibri"/>
          <w:sz w:val="22"/>
          <w:szCs w:val="22"/>
        </w:rPr>
        <w:t xml:space="preserve">tematická a koordinovaná podpora </w:t>
      </w:r>
      <w:r w:rsidR="00D03FD3" w:rsidRPr="005D5621">
        <w:rPr>
          <w:rFonts w:ascii="Calibri" w:hAnsi="Calibri" w:cs="Calibri"/>
          <w:sz w:val="22"/>
          <w:szCs w:val="22"/>
        </w:rPr>
        <w:t xml:space="preserve">obnovy štruktúry krajiny (krajinotvorba) </w:t>
      </w:r>
      <w:r w:rsidR="0039008C" w:rsidRPr="005D5621">
        <w:rPr>
          <w:rFonts w:ascii="Calibri" w:hAnsi="Calibri" w:cs="Calibri"/>
          <w:sz w:val="22"/>
          <w:szCs w:val="22"/>
        </w:rPr>
        <w:t>musí začať čím skôr</w:t>
      </w:r>
      <w:r w:rsidR="00D03FD3" w:rsidRPr="005D5621">
        <w:rPr>
          <w:rFonts w:ascii="Calibri" w:hAnsi="Calibri" w:cs="Calibri"/>
          <w:sz w:val="22"/>
          <w:szCs w:val="22"/>
        </w:rPr>
        <w:t xml:space="preserve">. </w:t>
      </w:r>
      <w:r w:rsidR="005C421F">
        <w:rPr>
          <w:rFonts w:ascii="Calibri" w:hAnsi="Calibri" w:cs="Calibri"/>
          <w:sz w:val="22"/>
          <w:szCs w:val="22"/>
        </w:rPr>
        <w:br/>
      </w:r>
      <w:r w:rsidR="00D03FD3" w:rsidRPr="005D5621">
        <w:rPr>
          <w:rFonts w:ascii="Calibri" w:hAnsi="Calibri" w:cs="Calibri"/>
          <w:sz w:val="22"/>
          <w:szCs w:val="22"/>
        </w:rPr>
        <w:t>MPRV SR v</w:t>
      </w:r>
      <w:r w:rsidR="0039008C" w:rsidRPr="005D5621">
        <w:rPr>
          <w:rFonts w:ascii="Calibri" w:hAnsi="Calibri" w:cs="Calibri"/>
          <w:sz w:val="22"/>
          <w:szCs w:val="22"/>
        </w:rPr>
        <w:t>ytvár</w:t>
      </w:r>
      <w:r w:rsidR="00D03FD3" w:rsidRPr="005D5621">
        <w:rPr>
          <w:rFonts w:ascii="Calibri" w:hAnsi="Calibri" w:cs="Calibri"/>
          <w:sz w:val="22"/>
          <w:szCs w:val="22"/>
        </w:rPr>
        <w:t>a v rámci systému poradenstva</w:t>
      </w:r>
      <w:r w:rsidR="0039008C" w:rsidRPr="005D5621">
        <w:rPr>
          <w:rFonts w:ascii="Calibri" w:hAnsi="Calibri" w:cs="Calibri"/>
          <w:sz w:val="22"/>
          <w:szCs w:val="22"/>
        </w:rPr>
        <w:t xml:space="preserve"> a</w:t>
      </w:r>
      <w:r w:rsidR="00D03FD3" w:rsidRPr="005D5621">
        <w:rPr>
          <w:rFonts w:ascii="Calibri" w:hAnsi="Calibri" w:cs="Calibri"/>
          <w:sz w:val="22"/>
          <w:szCs w:val="22"/>
        </w:rPr>
        <w:t> inovácií štyri</w:t>
      </w:r>
      <w:r w:rsidR="0039008C" w:rsidRPr="005D5621">
        <w:rPr>
          <w:rFonts w:ascii="Calibri" w:hAnsi="Calibri" w:cs="Calibri"/>
          <w:sz w:val="22"/>
          <w:szCs w:val="22"/>
        </w:rPr>
        <w:t xml:space="preserve"> nové </w:t>
      </w:r>
      <w:r w:rsidR="00D03FD3" w:rsidRPr="005D5621">
        <w:rPr>
          <w:rFonts w:ascii="Calibri" w:hAnsi="Calibri" w:cs="Calibri"/>
          <w:sz w:val="22"/>
          <w:szCs w:val="22"/>
        </w:rPr>
        <w:t xml:space="preserve">interaktívne </w:t>
      </w:r>
      <w:r w:rsidR="0039008C" w:rsidRPr="005D5621">
        <w:rPr>
          <w:rFonts w:ascii="Calibri" w:hAnsi="Calibri" w:cs="Calibri"/>
          <w:sz w:val="22"/>
          <w:szCs w:val="22"/>
        </w:rPr>
        <w:t>nástroje – mapuj, adaptuj, generuj a vráť vodu do krajiny</w:t>
      </w:r>
      <w:r w:rsidR="00D03FD3" w:rsidRPr="005D5621">
        <w:rPr>
          <w:rFonts w:ascii="Calibri" w:hAnsi="Calibri" w:cs="Calibri"/>
          <w:sz w:val="22"/>
          <w:szCs w:val="22"/>
        </w:rPr>
        <w:t xml:space="preserve"> v rámci tematického portálu zameraného </w:t>
      </w:r>
      <w:r w:rsidR="005C421F">
        <w:rPr>
          <w:rFonts w:ascii="Calibri" w:hAnsi="Calibri" w:cs="Calibri"/>
          <w:sz w:val="22"/>
          <w:szCs w:val="22"/>
        </w:rPr>
        <w:br/>
      </w:r>
      <w:r w:rsidR="00D03FD3" w:rsidRPr="005D5621">
        <w:rPr>
          <w:rFonts w:ascii="Calibri" w:hAnsi="Calibri" w:cs="Calibri"/>
          <w:sz w:val="22"/>
          <w:szCs w:val="22"/>
        </w:rPr>
        <w:t>na zdravie pôdy a ozdravenie klímy. Do riešenia (regeneratívne poľnohospodárstvo, protierózne a vodozádržné opatrenia, krajinotvorba) budú zapojené desiatky ti</w:t>
      </w:r>
      <w:r w:rsidR="0039008C" w:rsidRPr="005D5621">
        <w:rPr>
          <w:rFonts w:ascii="Calibri" w:hAnsi="Calibri" w:cs="Calibri"/>
          <w:sz w:val="22"/>
          <w:szCs w:val="22"/>
        </w:rPr>
        <w:t>síc ha bielych nevyužitých pôd</w:t>
      </w:r>
      <w:r w:rsidR="00D03FD3" w:rsidRPr="005D5621">
        <w:rPr>
          <w:rFonts w:ascii="Calibri" w:hAnsi="Calibri" w:cs="Calibri"/>
          <w:sz w:val="22"/>
          <w:szCs w:val="22"/>
        </w:rPr>
        <w:t>.</w:t>
      </w:r>
    </w:p>
    <w:p w:rsidR="0039008C" w:rsidRPr="005D5621" w:rsidRDefault="00D03FD3" w:rsidP="005D5621">
      <w:pPr>
        <w:pStyle w:val="Odsekzoznamu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V rámci nového SP SPP 2023-</w:t>
      </w:r>
      <w:r w:rsidR="005C421F">
        <w:rPr>
          <w:rFonts w:ascii="Calibri" w:hAnsi="Calibri" w:cs="Calibri"/>
          <w:sz w:val="22"/>
          <w:szCs w:val="22"/>
        </w:rPr>
        <w:t>20</w:t>
      </w:r>
      <w:r w:rsidRPr="005D5621">
        <w:rPr>
          <w:rFonts w:ascii="Calibri" w:hAnsi="Calibri" w:cs="Calibri"/>
          <w:sz w:val="22"/>
          <w:szCs w:val="22"/>
        </w:rPr>
        <w:t>27 sa umožňuje vyčleniť až do 10% plôch na ornej pôde a TTP (v rámci priamych platieb) na neprodukčné plochy, ktoré budú plniť intenzívne ekosystémové služby. Tieto plochy je vhodné začleniť do monokultúrnej krajiny, ktorá sa tak lepšie rozčlení</w:t>
      </w:r>
      <w:r w:rsidR="005C421F">
        <w:rPr>
          <w:rFonts w:ascii="Calibri" w:hAnsi="Calibri" w:cs="Calibri"/>
          <w:sz w:val="22"/>
          <w:szCs w:val="22"/>
        </w:rPr>
        <w:t>.</w:t>
      </w:r>
    </w:p>
    <w:p w:rsidR="00100CF1" w:rsidRPr="005D5621" w:rsidRDefault="00100CF1" w:rsidP="00B24699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Cestovná mapa obehového bio-hospodárstva </w:t>
      </w:r>
      <w:r w:rsidR="00B276B4" w:rsidRPr="005D5621">
        <w:rPr>
          <w:rFonts w:ascii="Calibri" w:hAnsi="Calibri" w:cs="Calibri"/>
          <w:sz w:val="22"/>
          <w:szCs w:val="22"/>
        </w:rPr>
        <w:t>má 7 častí zameraných na bioodpad a biomasu a jej energetické a živinové zhodnotenie, podporu postupného prechodu na organické hnojivá, Udržateľné potravinové systémy, z</w:t>
      </w:r>
      <w:r w:rsidR="0039008C" w:rsidRPr="005D5621">
        <w:rPr>
          <w:rFonts w:ascii="Calibri" w:hAnsi="Calibri" w:cs="Calibri"/>
          <w:sz w:val="22"/>
          <w:szCs w:val="22"/>
        </w:rPr>
        <w:t>výšenie vodozádržnej kapacity štruktúr krajiny a pôdy min. o 50m3/ha za 5 rokov</w:t>
      </w:r>
      <w:r w:rsidR="00942B34">
        <w:rPr>
          <w:rFonts w:ascii="Calibri" w:hAnsi="Calibri" w:cs="Calibri"/>
          <w:sz w:val="22"/>
          <w:szCs w:val="22"/>
        </w:rPr>
        <w:t>.</w:t>
      </w:r>
      <w:r w:rsidR="0039008C" w:rsidRPr="005D5621">
        <w:rPr>
          <w:rFonts w:ascii="Calibri" w:hAnsi="Calibri" w:cs="Calibri"/>
          <w:sz w:val="22"/>
          <w:szCs w:val="22"/>
        </w:rPr>
        <w:t xml:space="preserve"> </w:t>
      </w:r>
    </w:p>
    <w:p w:rsidR="00100CF1" w:rsidRPr="005D5621" w:rsidRDefault="00100CF1" w:rsidP="00605C87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Kríza hodnôt</w:t>
      </w:r>
      <w:r w:rsidR="00D03FD3" w:rsidRPr="005D5621">
        <w:rPr>
          <w:rFonts w:ascii="Calibri" w:hAnsi="Calibri" w:cs="Calibri"/>
          <w:sz w:val="22"/>
          <w:szCs w:val="22"/>
        </w:rPr>
        <w:t>. Potrebujeme obnoviť vzťah k pôde, ku krajine, jej kultúrnemu dedičstvu, potrebujeme uznať význam dažďovej vod</w:t>
      </w:r>
      <w:r w:rsidR="00942B34">
        <w:rPr>
          <w:rFonts w:ascii="Calibri" w:hAnsi="Calibri" w:cs="Calibri"/>
          <w:sz w:val="22"/>
          <w:szCs w:val="22"/>
        </w:rPr>
        <w:t>y</w:t>
      </w:r>
      <w:r w:rsidR="00D03FD3" w:rsidRPr="005D5621">
        <w:rPr>
          <w:rFonts w:ascii="Calibri" w:hAnsi="Calibri" w:cs="Calibri"/>
          <w:sz w:val="22"/>
          <w:szCs w:val="22"/>
        </w:rPr>
        <w:t>, potrebujeme rozširovať spoluprácu susediacich nehnuteľností, vlastníkov a užívateľov pozemkov pri zadržiavaní vody v krajine, obnove jej vegetačného krytu a pri ochrane pôdy pred eróziou</w:t>
      </w:r>
      <w:r w:rsidR="00942B34">
        <w:rPr>
          <w:rFonts w:ascii="Calibri" w:hAnsi="Calibri" w:cs="Calibri"/>
          <w:sz w:val="22"/>
          <w:szCs w:val="22"/>
        </w:rPr>
        <w:t>.</w:t>
      </w:r>
      <w:r w:rsidRPr="005D5621">
        <w:rPr>
          <w:rFonts w:ascii="Calibri" w:hAnsi="Calibri" w:cs="Calibri"/>
          <w:sz w:val="22"/>
          <w:szCs w:val="22"/>
        </w:rPr>
        <w:t xml:space="preserve"> </w:t>
      </w:r>
    </w:p>
    <w:p w:rsidR="0039008C" w:rsidRPr="005D5621" w:rsidRDefault="0039008C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Najväčším problémom súčasného lesníctva sú kalamity väčšieho rozmeru a prírodné disturbancie v dôsledku </w:t>
      </w:r>
      <w:r w:rsidR="00B276B4" w:rsidRPr="005D5621">
        <w:rPr>
          <w:rFonts w:ascii="Calibri" w:hAnsi="Calibri" w:cs="Calibri"/>
          <w:sz w:val="22"/>
          <w:szCs w:val="22"/>
        </w:rPr>
        <w:t>zho</w:t>
      </w:r>
      <w:r w:rsidRPr="005D5621">
        <w:rPr>
          <w:rFonts w:ascii="Calibri" w:hAnsi="Calibri" w:cs="Calibri"/>
          <w:sz w:val="22"/>
          <w:szCs w:val="22"/>
        </w:rPr>
        <w:t>r</w:t>
      </w:r>
      <w:r w:rsidR="00B276B4" w:rsidRPr="005D5621">
        <w:rPr>
          <w:rFonts w:ascii="Calibri" w:hAnsi="Calibri" w:cs="Calibri"/>
          <w:sz w:val="22"/>
          <w:szCs w:val="22"/>
        </w:rPr>
        <w:t>š</w:t>
      </w:r>
      <w:r w:rsidRPr="005D5621">
        <w:rPr>
          <w:rFonts w:ascii="Calibri" w:hAnsi="Calibri" w:cs="Calibri"/>
          <w:sz w:val="22"/>
          <w:szCs w:val="22"/>
        </w:rPr>
        <w:t xml:space="preserve">ujúcej sa klimatickej zmeny, </w:t>
      </w:r>
      <w:r w:rsidR="00B276B4" w:rsidRPr="005D5621">
        <w:rPr>
          <w:rFonts w:ascii="Calibri" w:hAnsi="Calibri" w:cs="Calibri"/>
          <w:sz w:val="22"/>
          <w:szCs w:val="22"/>
        </w:rPr>
        <w:t>prívalové</w:t>
      </w:r>
      <w:r w:rsidRPr="005D5621">
        <w:rPr>
          <w:rFonts w:ascii="Calibri" w:hAnsi="Calibri" w:cs="Calibri"/>
          <w:sz w:val="22"/>
          <w:szCs w:val="22"/>
        </w:rPr>
        <w:t xml:space="preserve"> dažde, zmeny distribúcie dažďovej vody, 500 ročné sucho atď. v dôsledku oteplenia ovzdušia – riešením je zvýšiť biodiverzitu pre stabilizáciu krajiny – biodiverzitne bohaté</w:t>
      </w:r>
      <w:r w:rsidR="00942B34">
        <w:rPr>
          <w:rFonts w:ascii="Calibri" w:hAnsi="Calibri" w:cs="Calibri"/>
          <w:sz w:val="22"/>
          <w:szCs w:val="22"/>
        </w:rPr>
        <w:t>ho</w:t>
      </w:r>
      <w:r w:rsidRPr="005D5621">
        <w:rPr>
          <w:rFonts w:ascii="Calibri" w:hAnsi="Calibri" w:cs="Calibri"/>
          <w:sz w:val="22"/>
          <w:szCs w:val="22"/>
        </w:rPr>
        <w:t xml:space="preserve"> systému majú vyššiu rezistenciu a po narušení </w:t>
      </w:r>
      <w:r w:rsidR="00942B34">
        <w:rPr>
          <w:rFonts w:ascii="Calibri" w:hAnsi="Calibri" w:cs="Calibri"/>
          <w:sz w:val="22"/>
          <w:szCs w:val="22"/>
        </w:rPr>
        <w:t>d</w:t>
      </w:r>
      <w:r w:rsidRPr="005D5621">
        <w:rPr>
          <w:rFonts w:ascii="Calibri" w:hAnsi="Calibri" w:cs="Calibri"/>
          <w:sz w:val="22"/>
          <w:szCs w:val="22"/>
        </w:rPr>
        <w:t>o prirodzeného chodu majú zlepšenú schopnosť sa vrátiť na pôvodnú úroveň</w:t>
      </w:r>
      <w:r w:rsidR="00942B34">
        <w:rPr>
          <w:rFonts w:ascii="Calibri" w:hAnsi="Calibri" w:cs="Calibri"/>
          <w:sz w:val="22"/>
          <w:szCs w:val="22"/>
        </w:rPr>
        <w:t>.</w:t>
      </w:r>
    </w:p>
    <w:p w:rsidR="00B276B4" w:rsidRPr="005D5621" w:rsidRDefault="0039008C" w:rsidP="000628DC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Posilňovanie biodiverzity má synergické účinky so službami regulačnými, zlepšujú a stabilizujú sa toky energie, živín v krajine. </w:t>
      </w:r>
    </w:p>
    <w:p w:rsidR="000628DC" w:rsidRPr="005D5621" w:rsidRDefault="000628DC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Za posledných 30 rokov na Slovensku vidiek prestával byť vidiekom, lebo sa radikálne</w:t>
      </w:r>
      <w:r w:rsidR="00B276B4" w:rsidRPr="005D562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>znížila výroba potravín, Slovensko ostalo nesebestačné a závislé na dovoze bežných potravín.</w:t>
      </w:r>
    </w:p>
    <w:p w:rsidR="000628DC" w:rsidRPr="005D5621" w:rsidRDefault="000628DC" w:rsidP="0002645E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Treba urýchlene doriešiť vlastníctvo pozemkov</w:t>
      </w:r>
      <w:r w:rsidR="00DE053D" w:rsidRPr="005D5621">
        <w:rPr>
          <w:rFonts w:ascii="Calibri" w:hAnsi="Calibri" w:cs="Calibri"/>
          <w:sz w:val="22"/>
          <w:szCs w:val="22"/>
        </w:rPr>
        <w:t xml:space="preserve">, pozemkové úpravy (12-13% obcí po 30 rokoch je veľmi málo) </w:t>
      </w:r>
      <w:r w:rsidRPr="005D5621">
        <w:rPr>
          <w:rFonts w:ascii="Calibri" w:hAnsi="Calibri" w:cs="Calibri"/>
          <w:sz w:val="22"/>
          <w:szCs w:val="22"/>
        </w:rPr>
        <w:t xml:space="preserve"> a umožniť mladým ľuďom</w:t>
      </w:r>
      <w:r w:rsidR="00942B34">
        <w:rPr>
          <w:rFonts w:ascii="Calibri" w:hAnsi="Calibri" w:cs="Calibri"/>
          <w:sz w:val="22"/>
          <w:szCs w:val="22"/>
        </w:rPr>
        <w:t>,</w:t>
      </w:r>
      <w:r w:rsidRPr="005D5621">
        <w:rPr>
          <w:rFonts w:ascii="Calibri" w:hAnsi="Calibri" w:cs="Calibri"/>
          <w:sz w:val="22"/>
          <w:szCs w:val="22"/>
        </w:rPr>
        <w:t xml:space="preserve"> aby mohli</w:t>
      </w:r>
      <w:r w:rsidR="0002645E" w:rsidRPr="005D562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>pracovať a podnikať v poľnohospodárskej výrobe a aby sa tým aj využili doposiaľ</w:t>
      </w:r>
      <w:r w:rsidR="0002645E" w:rsidRPr="005D562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 xml:space="preserve">nevyužité </w:t>
      </w:r>
      <w:r w:rsidR="0002645E" w:rsidRPr="005D5621">
        <w:rPr>
          <w:rFonts w:ascii="Calibri" w:hAnsi="Calibri" w:cs="Calibri"/>
          <w:sz w:val="22"/>
          <w:szCs w:val="22"/>
        </w:rPr>
        <w:t>a zaburinené pozemky a pastviny.</w:t>
      </w:r>
      <w:r w:rsidR="000632D3" w:rsidRPr="005D5621">
        <w:rPr>
          <w:rFonts w:ascii="Calibri" w:hAnsi="Calibri" w:cs="Calibri"/>
          <w:sz w:val="22"/>
          <w:szCs w:val="22"/>
        </w:rPr>
        <w:t xml:space="preserve"> Aktuálne </w:t>
      </w:r>
      <w:r w:rsidR="000632D3" w:rsidRPr="005D5621">
        <w:rPr>
          <w:rFonts w:ascii="Calibri" w:hAnsi="Calibri" w:cs="Calibri"/>
          <w:sz w:val="22"/>
          <w:szCs w:val="22"/>
        </w:rPr>
        <w:lastRenderedPageBreak/>
        <w:t xml:space="preserve">je vyhlásená výzva na realizáciu podporu spoločných zariadení a opatrení v katastroch obcí, kde prebehli projekty pozemkových úprav.  </w:t>
      </w:r>
    </w:p>
    <w:p w:rsidR="000628DC" w:rsidRPr="005D5621" w:rsidRDefault="000628DC" w:rsidP="0002645E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Naši poľnohospodári nedostávajú takú istú podporu</w:t>
      </w:r>
      <w:r w:rsidR="00942B34">
        <w:rPr>
          <w:rFonts w:ascii="Calibri" w:hAnsi="Calibri" w:cs="Calibri"/>
          <w:sz w:val="22"/>
          <w:szCs w:val="22"/>
        </w:rPr>
        <w:t>,</w:t>
      </w:r>
      <w:r w:rsidRPr="005D5621">
        <w:rPr>
          <w:rFonts w:ascii="Calibri" w:hAnsi="Calibri" w:cs="Calibri"/>
          <w:sz w:val="22"/>
          <w:szCs w:val="22"/>
        </w:rPr>
        <w:t xml:space="preserve"> ako je tomu v zahraničí a</w:t>
      </w:r>
      <w:r w:rsidR="0002645E" w:rsidRPr="005D5621">
        <w:rPr>
          <w:rFonts w:ascii="Calibri" w:hAnsi="Calibri" w:cs="Calibri"/>
          <w:sz w:val="22"/>
          <w:szCs w:val="22"/>
        </w:rPr>
        <w:t> </w:t>
      </w:r>
      <w:r w:rsidRPr="005D5621">
        <w:rPr>
          <w:rFonts w:ascii="Calibri" w:hAnsi="Calibri" w:cs="Calibri"/>
          <w:sz w:val="22"/>
          <w:szCs w:val="22"/>
        </w:rPr>
        <w:t>mladí</w:t>
      </w:r>
      <w:r w:rsidR="0002645E" w:rsidRPr="005D5621">
        <w:rPr>
          <w:rFonts w:ascii="Calibri" w:hAnsi="Calibri" w:cs="Calibri"/>
          <w:sz w:val="22"/>
          <w:szCs w:val="22"/>
        </w:rPr>
        <w:t xml:space="preserve"> ľudia odchádzajú pracovať radšej do zahraničia</w:t>
      </w:r>
      <w:r w:rsidRPr="005D5621">
        <w:rPr>
          <w:rFonts w:ascii="Calibri" w:hAnsi="Calibri" w:cs="Calibri"/>
          <w:sz w:val="22"/>
          <w:szCs w:val="22"/>
        </w:rPr>
        <w:t>.</w:t>
      </w:r>
      <w:r w:rsidR="000632D3" w:rsidRPr="005D5621">
        <w:rPr>
          <w:rFonts w:ascii="Calibri" w:hAnsi="Calibri" w:cs="Calibri"/>
          <w:sz w:val="22"/>
          <w:szCs w:val="22"/>
        </w:rPr>
        <w:t xml:space="preserve"> Na vidieku potrebujeme diverzifikovať zdroje príjmov v poľnohospodárstve, v rámci rozvoja pracovných príležitostí. Veľký priestor je v obehovom bio-hospodárstve, v cestovnom ruchu, v sociálnych službách, ale aj inováciách, udržateľnej doprave.  </w:t>
      </w:r>
    </w:p>
    <w:p w:rsidR="000628DC" w:rsidRPr="005D5621" w:rsidRDefault="000628DC" w:rsidP="0002645E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Malé farmy majú problémy s predajom svojich produktov a preto sa </w:t>
      </w:r>
      <w:r w:rsidR="00942B34">
        <w:rPr>
          <w:rFonts w:ascii="Calibri" w:hAnsi="Calibri" w:cs="Calibri"/>
          <w:sz w:val="22"/>
          <w:szCs w:val="22"/>
        </w:rPr>
        <w:t>odporúča</w:t>
      </w:r>
      <w:r w:rsidR="00942B34" w:rsidRPr="005D562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>pomoc pri budovaní obchodných združení, alebo družstiev, kde by sa spoločne</w:t>
      </w:r>
      <w:r w:rsidR="0002645E" w:rsidRPr="005D562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 xml:space="preserve">predávali u nás </w:t>
      </w:r>
      <w:r w:rsidR="00942B34">
        <w:rPr>
          <w:rFonts w:ascii="Calibri" w:hAnsi="Calibri" w:cs="Calibri"/>
          <w:sz w:val="22"/>
          <w:szCs w:val="22"/>
        </w:rPr>
        <w:br/>
      </w:r>
      <w:r w:rsidRPr="005D5621">
        <w:rPr>
          <w:rFonts w:ascii="Calibri" w:hAnsi="Calibri" w:cs="Calibri"/>
          <w:sz w:val="22"/>
          <w:szCs w:val="22"/>
        </w:rPr>
        <w:t>i v zahraničí .</w:t>
      </w:r>
    </w:p>
    <w:p w:rsidR="0002645E" w:rsidRPr="005D5621" w:rsidRDefault="000628DC" w:rsidP="0002645E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Naďalej podporovať tradičné  zvyky, kultúru, folklór a najmä  učiť deti už v základných školách lásku k prírode, ku chovu domácich zvierat i k pestovaniu domácej zeleniny i  ovocia.</w:t>
      </w:r>
    </w:p>
    <w:p w:rsidR="00B276B4" w:rsidRPr="005D5621" w:rsidRDefault="0002645E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Misijne orientovaná výhľadová štúdia je vhodný nástroj na zapájanie aktérov do tvorby verejných politík, je to však veľmi komplexný proces, </w:t>
      </w:r>
      <w:r w:rsidR="00B276B4" w:rsidRPr="005D5621">
        <w:rPr>
          <w:rFonts w:ascii="Calibri" w:hAnsi="Calibri" w:cs="Calibri"/>
          <w:sz w:val="22"/>
          <w:szCs w:val="22"/>
        </w:rPr>
        <w:t>časovo, finanč</w:t>
      </w:r>
      <w:r w:rsidRPr="005D5621">
        <w:rPr>
          <w:rFonts w:ascii="Calibri" w:hAnsi="Calibri" w:cs="Calibri"/>
          <w:sz w:val="22"/>
          <w:szCs w:val="22"/>
        </w:rPr>
        <w:t>ne, odborne a personálne náročný.</w:t>
      </w:r>
    </w:p>
    <w:p w:rsidR="0002645E" w:rsidRPr="005D5621" w:rsidRDefault="00B276B4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Komunikácia – načúvať s porozumením a hľadať správnu rovnováhu</w:t>
      </w:r>
      <w:r w:rsidR="00942B34">
        <w:rPr>
          <w:rFonts w:ascii="Calibri" w:hAnsi="Calibri" w:cs="Calibri"/>
          <w:sz w:val="22"/>
          <w:szCs w:val="22"/>
        </w:rPr>
        <w:t>.</w:t>
      </w:r>
      <w:r w:rsidRPr="005D5621">
        <w:rPr>
          <w:rFonts w:ascii="Calibri" w:hAnsi="Calibri" w:cs="Calibri"/>
          <w:sz w:val="22"/>
          <w:szCs w:val="22"/>
        </w:rPr>
        <w:t xml:space="preserve"> </w:t>
      </w:r>
    </w:p>
    <w:p w:rsidR="0002645E" w:rsidRPr="005D5621" w:rsidRDefault="00B276B4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Nedostatočné zapájanie aktérov –</w:t>
      </w:r>
      <w:r w:rsidR="00DE053D" w:rsidRPr="005D5621">
        <w:rPr>
          <w:rFonts w:ascii="Calibri" w:hAnsi="Calibri" w:cs="Calibri"/>
          <w:sz w:val="22"/>
          <w:szCs w:val="22"/>
        </w:rPr>
        <w:t xml:space="preserve"> </w:t>
      </w:r>
      <w:r w:rsidRPr="005D5621">
        <w:rPr>
          <w:rFonts w:ascii="Calibri" w:hAnsi="Calibri" w:cs="Calibri"/>
          <w:sz w:val="22"/>
          <w:szCs w:val="22"/>
        </w:rPr>
        <w:t>pravidelne, vhodne, zrozumiteľne a kontinuálne – musia mať pocit</w:t>
      </w:r>
      <w:r w:rsidR="00DE053D" w:rsidRPr="005D5621">
        <w:rPr>
          <w:rFonts w:ascii="Calibri" w:hAnsi="Calibri" w:cs="Calibri"/>
          <w:sz w:val="22"/>
          <w:szCs w:val="22"/>
        </w:rPr>
        <w:t xml:space="preserve"> a aj vidieť</w:t>
      </w:r>
      <w:r w:rsidRPr="005D5621">
        <w:rPr>
          <w:rFonts w:ascii="Calibri" w:hAnsi="Calibri" w:cs="Calibri"/>
          <w:sz w:val="22"/>
          <w:szCs w:val="22"/>
        </w:rPr>
        <w:t>, že sú ich názory zohľadnené</w:t>
      </w:r>
      <w:r w:rsidR="00942B34">
        <w:rPr>
          <w:rFonts w:ascii="Calibri" w:hAnsi="Calibri" w:cs="Calibri"/>
          <w:sz w:val="22"/>
          <w:szCs w:val="22"/>
        </w:rPr>
        <w:t>.</w:t>
      </w:r>
      <w:r w:rsidRPr="005D5621">
        <w:rPr>
          <w:rFonts w:ascii="Calibri" w:hAnsi="Calibri" w:cs="Calibri"/>
          <w:sz w:val="22"/>
          <w:szCs w:val="22"/>
        </w:rPr>
        <w:t xml:space="preserve"> </w:t>
      </w:r>
    </w:p>
    <w:p w:rsidR="0002645E" w:rsidRPr="005D5621" w:rsidRDefault="00B276B4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Absentuje štruktúra, personálne a finančné mechanizmy</w:t>
      </w:r>
      <w:r w:rsidR="0002645E" w:rsidRPr="005D5621">
        <w:rPr>
          <w:rFonts w:ascii="Calibri" w:hAnsi="Calibri" w:cs="Calibri"/>
          <w:sz w:val="22"/>
          <w:szCs w:val="22"/>
        </w:rPr>
        <w:t xml:space="preserve"> na podporu zapájania aktérov </w:t>
      </w:r>
      <w:r w:rsidR="00942B34">
        <w:rPr>
          <w:rFonts w:ascii="Calibri" w:hAnsi="Calibri" w:cs="Calibri"/>
          <w:sz w:val="22"/>
          <w:szCs w:val="22"/>
        </w:rPr>
        <w:br/>
      </w:r>
      <w:r w:rsidR="0002645E" w:rsidRPr="005D5621">
        <w:rPr>
          <w:rFonts w:ascii="Calibri" w:hAnsi="Calibri" w:cs="Calibri"/>
          <w:sz w:val="22"/>
          <w:szCs w:val="22"/>
        </w:rPr>
        <w:t>na vidieku.</w:t>
      </w:r>
    </w:p>
    <w:p w:rsidR="00B276B4" w:rsidRPr="005D5621" w:rsidRDefault="00B276B4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Absencia dostupných dát a dokumentov – bez dát nie je možné tvoriť politiky, ktoré majú priniesť pozitívnu zmenu na vidiek a rozhodnutia nie sú informované a</w:t>
      </w:r>
      <w:r w:rsidR="00942B34">
        <w:rPr>
          <w:rFonts w:ascii="Calibri" w:hAnsi="Calibri" w:cs="Calibri"/>
          <w:sz w:val="22"/>
          <w:szCs w:val="22"/>
        </w:rPr>
        <w:t> </w:t>
      </w:r>
      <w:r w:rsidRPr="005D5621">
        <w:rPr>
          <w:rFonts w:ascii="Calibri" w:hAnsi="Calibri" w:cs="Calibri"/>
          <w:sz w:val="22"/>
          <w:szCs w:val="22"/>
        </w:rPr>
        <w:t>podložené</w:t>
      </w:r>
      <w:r w:rsidR="00942B34">
        <w:rPr>
          <w:rFonts w:ascii="Calibri" w:hAnsi="Calibri" w:cs="Calibri"/>
          <w:sz w:val="22"/>
          <w:szCs w:val="22"/>
        </w:rPr>
        <w:t>.</w:t>
      </w:r>
    </w:p>
    <w:p w:rsidR="00DE053D" w:rsidRPr="005D5621" w:rsidRDefault="00DE053D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Výkonnosťou pôdohospodárstva patrí SR medzi najslabšie v EÚ </w:t>
      </w:r>
      <w:r w:rsidR="000632D3" w:rsidRPr="005D5621">
        <w:rPr>
          <w:rFonts w:ascii="Calibri" w:hAnsi="Calibri" w:cs="Calibri"/>
          <w:sz w:val="22"/>
          <w:szCs w:val="22"/>
        </w:rPr>
        <w:t xml:space="preserve">napriek značnému rozvojovému potenciálu vidieka, produkčnému potenciálu pôdy a krajiny. Máme značný investičný dlh v potravinárstve a verejnej infraštruktúre. MPRV SR rozvíja koncept výrobno-spracovateľských a odbytových združení, ktoré umožnia prehlbovať spoluprácu prvovýrobcov potravín, poľnohospodárov, obcí ako aj potravinárskych firiem. </w:t>
      </w:r>
    </w:p>
    <w:p w:rsidR="000632D3" w:rsidRPr="005D5621" w:rsidRDefault="000632D3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MD SR potvrdilo, že zákon o podpore cestovného ruchu je prínosný a podporuje už viac ako </w:t>
      </w:r>
      <w:r w:rsidR="00942B34">
        <w:rPr>
          <w:rFonts w:ascii="Calibri" w:hAnsi="Calibri" w:cs="Calibri"/>
          <w:sz w:val="22"/>
          <w:szCs w:val="22"/>
        </w:rPr>
        <w:br/>
      </w:r>
      <w:r w:rsidRPr="005D5621">
        <w:rPr>
          <w:rFonts w:ascii="Calibri" w:hAnsi="Calibri" w:cs="Calibri"/>
          <w:sz w:val="22"/>
          <w:szCs w:val="22"/>
        </w:rPr>
        <w:t>10 rokov túto oblasť (oblastné a krajské organizácie cestovného ruchu). Potenciál rozvoja cestovného ruchu je však stále ešte väčší. Stále je čo zlepšovať</w:t>
      </w:r>
      <w:r w:rsidR="00942B34">
        <w:rPr>
          <w:rFonts w:ascii="Calibri" w:hAnsi="Calibri" w:cs="Calibri"/>
          <w:sz w:val="22"/>
          <w:szCs w:val="22"/>
        </w:rPr>
        <w:t>.</w:t>
      </w:r>
    </w:p>
    <w:p w:rsidR="00DE053D" w:rsidRPr="005D5621" w:rsidRDefault="00DE053D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Okrem poľnohospodárskej činnosti sú potrebné aj alternatívne zdroje príjmov</w:t>
      </w:r>
      <w:r w:rsidR="00942B34">
        <w:rPr>
          <w:rFonts w:ascii="Calibri" w:hAnsi="Calibri" w:cs="Calibri"/>
          <w:sz w:val="22"/>
          <w:szCs w:val="22"/>
        </w:rPr>
        <w:t>.</w:t>
      </w:r>
    </w:p>
    <w:p w:rsidR="00DE053D" w:rsidRPr="005D5621" w:rsidRDefault="00DE053D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V EÚ sú rozvinuté na farmách nasledujúce činnosti: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Prebudovávanie neúspešných fariem na penzióny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Spracovanie produkcie a predaj z farmy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Služby pre iných farmárov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Spravovanie tzv. víkendových fariem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Služby pre miestne potreby občanov a obce ako doprava, obchod, digitalizácia, energetika a technické služby, kompostovanie a podobne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Prevádzkovanie tradičných vinární a chát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Poľovníctvo, jazdectvo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Lesníctvo a spracovanie dreva</w:t>
      </w:r>
    </w:p>
    <w:p w:rsidR="00DE053D" w:rsidRPr="005D5621" w:rsidRDefault="00DE053D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lastRenderedPageBreak/>
        <w:t>Všeobecne cestovný ruch, konkrétne agroturizmus v rôznych podobách predstavuje až tretinu príjmov pre farmy, spájanie tradícií s agroturistikou.</w:t>
      </w:r>
    </w:p>
    <w:p w:rsidR="00116A01" w:rsidRPr="005D5621" w:rsidRDefault="00116A01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Obnoviteľné zdroje energie ako bioenergie, metanizácia (premena organickej hmoty </w:t>
      </w:r>
      <w:r w:rsidR="00942B34">
        <w:rPr>
          <w:rFonts w:ascii="Calibri" w:hAnsi="Calibri" w:cs="Calibri"/>
          <w:sz w:val="22"/>
          <w:szCs w:val="22"/>
        </w:rPr>
        <w:br/>
      </w:r>
      <w:r w:rsidRPr="005D5621">
        <w:rPr>
          <w:rFonts w:ascii="Calibri" w:hAnsi="Calibri" w:cs="Calibri"/>
          <w:sz w:val="22"/>
          <w:szCs w:val="22"/>
        </w:rPr>
        <w:t>do bioplynu), veterné turbíny a solárne panely. Vo Francúzsku takmer štvrtina obnoviteľnej energie pochádza z fariem. Prenájom farmy na solárne panely prináša 30x vyšší príjem ako poľnohospodárstvo</w:t>
      </w:r>
      <w:r w:rsidR="000632D3" w:rsidRPr="005D5621">
        <w:rPr>
          <w:rFonts w:ascii="Calibri" w:hAnsi="Calibri" w:cs="Calibri"/>
          <w:sz w:val="22"/>
          <w:szCs w:val="22"/>
        </w:rPr>
        <w:t xml:space="preserve"> (pozor však na obmedzovanie využívania pôdy na produkciu potravín; potrebná je aj ochrana pôdy pred zábermi pôdy na výstavbu)</w:t>
      </w:r>
      <w:r w:rsidRPr="005D5621">
        <w:rPr>
          <w:rFonts w:ascii="Calibri" w:hAnsi="Calibri" w:cs="Calibri"/>
          <w:sz w:val="22"/>
          <w:szCs w:val="22"/>
        </w:rPr>
        <w:t>. V Nemecku až 47% obnoviteľnej energie pochádza z fariem. Každá druhá farma má viacero činností, pričom polovica má obnoviteľné energie.</w:t>
      </w:r>
      <w:r w:rsidR="000632D3" w:rsidRPr="005D5621">
        <w:rPr>
          <w:rFonts w:ascii="Calibri" w:hAnsi="Calibri" w:cs="Calibri"/>
          <w:sz w:val="22"/>
          <w:szCs w:val="22"/>
        </w:rPr>
        <w:t xml:space="preserve"> V Dánsku sa viac ako 25% plynu vyrába z bioodpadu (biometán), u nás ani nie promile.</w:t>
      </w:r>
    </w:p>
    <w:p w:rsidR="00116A01" w:rsidRPr="005D5621" w:rsidRDefault="00116A01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Špecifické služby, napr. v Poľsku prenájom plotov fariem na reklamné účely tzv. plachtovými reklamami. </w:t>
      </w:r>
    </w:p>
    <w:p w:rsidR="00116A01" w:rsidRPr="005D5621" w:rsidRDefault="00116A01" w:rsidP="00DE053D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Agroturizmus, napr. v Rakúsku vinárne a horské chaty prinášajú 9x viac príjmov z cestovného ruchu ako z produkcie potravín.</w:t>
      </w:r>
    </w:p>
    <w:p w:rsidR="00DE053D" w:rsidRPr="005D5621" w:rsidRDefault="00116A01" w:rsidP="00B276B4">
      <w:pPr>
        <w:pStyle w:val="Odsekzoznamu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V SR sme na dobrej ceste zjednotiť sa na báze vedeckej prognózy, na koncepcii agrárnej a vidieckej politiky, zabezpečujúcej národnoštátne záujmy SR a tieto zafixovať do ústavného zákona.</w:t>
      </w:r>
    </w:p>
    <w:p w:rsidR="00942B34" w:rsidRPr="00B9605E" w:rsidRDefault="005D5621" w:rsidP="005D5621">
      <w:pPr>
        <w:rPr>
          <w:color w:val="0F6FC6" w:themeColor="accent1"/>
        </w:rPr>
      </w:pPr>
      <w:r w:rsidRPr="00B9605E">
        <w:rPr>
          <w:color w:val="0F6FC6" w:themeColor="accent1"/>
        </w:rPr>
        <w:t xml:space="preserve"> </w:t>
      </w:r>
    </w:p>
    <w:p w:rsidR="00CB19AA" w:rsidRPr="005D5621" w:rsidRDefault="002A751D" w:rsidP="00DE053D">
      <w:p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MPRV SR, ZMOS a Vidiecky </w:t>
      </w:r>
      <w:r w:rsidR="00CB19AA" w:rsidRPr="005D5621">
        <w:rPr>
          <w:rFonts w:ascii="Calibri" w:hAnsi="Calibri" w:cs="Calibri"/>
          <w:sz w:val="22"/>
          <w:szCs w:val="22"/>
        </w:rPr>
        <w:t>parlament ďaku</w:t>
      </w:r>
      <w:r w:rsidRPr="005D5621">
        <w:rPr>
          <w:rFonts w:ascii="Calibri" w:hAnsi="Calibri" w:cs="Calibri"/>
          <w:sz w:val="22"/>
          <w:szCs w:val="22"/>
        </w:rPr>
        <w:t>jú všetkým</w:t>
      </w:r>
      <w:r w:rsidR="00CB19AA" w:rsidRPr="005D5621">
        <w:rPr>
          <w:rFonts w:ascii="Calibri" w:hAnsi="Calibri" w:cs="Calibri"/>
          <w:sz w:val="22"/>
          <w:szCs w:val="22"/>
        </w:rPr>
        <w:t xml:space="preserve"> účastníkom konferencie, zástupcom rezortov (MD SR, MIRRI SR, MPRV SR, ÚV SR, Ministerstvo pri místní rozvoj ČR) aj ďalším prednášateľom </w:t>
      </w:r>
      <w:r w:rsidR="005421D5">
        <w:rPr>
          <w:rFonts w:ascii="Calibri" w:hAnsi="Calibri" w:cs="Calibri"/>
          <w:sz w:val="22"/>
          <w:szCs w:val="22"/>
        </w:rPr>
        <w:br/>
      </w:r>
      <w:r w:rsidR="00CB19AA" w:rsidRPr="005D5621">
        <w:rPr>
          <w:rFonts w:ascii="Calibri" w:hAnsi="Calibri" w:cs="Calibri"/>
          <w:sz w:val="22"/>
          <w:szCs w:val="22"/>
        </w:rPr>
        <w:t xml:space="preserve">za aktívnu účasť. </w:t>
      </w:r>
    </w:p>
    <w:p w:rsidR="00CB19AA" w:rsidRPr="005D5621" w:rsidRDefault="00CB19AA" w:rsidP="00DE053D">
      <w:p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Technickej univerzite Zvolen ďakujeme za spoluprácu a vytvorenie vynikajúcich podmienok </w:t>
      </w:r>
      <w:r w:rsidR="005421D5">
        <w:rPr>
          <w:rFonts w:ascii="Calibri" w:hAnsi="Calibri" w:cs="Calibri"/>
          <w:sz w:val="22"/>
          <w:szCs w:val="22"/>
        </w:rPr>
        <w:br/>
      </w:r>
      <w:r w:rsidRPr="005D5621">
        <w:rPr>
          <w:rFonts w:ascii="Calibri" w:hAnsi="Calibri" w:cs="Calibri"/>
          <w:sz w:val="22"/>
          <w:szCs w:val="22"/>
        </w:rPr>
        <w:t>na konferenciu.</w:t>
      </w:r>
    </w:p>
    <w:p w:rsidR="002A751D" w:rsidRPr="005D5621" w:rsidRDefault="00CB19AA" w:rsidP="00DE053D">
      <w:p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 xml:space="preserve">Organizátori konferencie plánujú v pokračovaní tejto formy dialógu. Konferencia by sa mohla organizovať zatiaľ na pravidelnej báze v rôznych regiónoch Slovenska, pričom každé podujatie by mohlo byť špecificky zamerané na vybrané témy. </w:t>
      </w:r>
      <w:r w:rsidR="002A751D" w:rsidRPr="005D5621">
        <w:rPr>
          <w:rFonts w:ascii="Calibri" w:hAnsi="Calibri" w:cs="Calibri"/>
          <w:sz w:val="22"/>
          <w:szCs w:val="22"/>
        </w:rPr>
        <w:t xml:space="preserve"> </w:t>
      </w:r>
    </w:p>
    <w:p w:rsidR="00CB19AA" w:rsidRPr="005D5621" w:rsidRDefault="00CB19AA" w:rsidP="00DE053D">
      <w:pPr>
        <w:jc w:val="both"/>
        <w:rPr>
          <w:rFonts w:ascii="Calibri" w:hAnsi="Calibri" w:cs="Calibri"/>
          <w:sz w:val="22"/>
          <w:szCs w:val="22"/>
        </w:rPr>
      </w:pPr>
    </w:p>
    <w:p w:rsidR="00DE053D" w:rsidRPr="005D5621" w:rsidRDefault="000632D3" w:rsidP="00DE053D">
      <w:p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Samostatné príloha:</w:t>
      </w:r>
    </w:p>
    <w:p w:rsidR="000632D3" w:rsidRPr="005D5621" w:rsidRDefault="000632D3" w:rsidP="005D5621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5D5621">
        <w:rPr>
          <w:rFonts w:ascii="Calibri" w:hAnsi="Calibri" w:cs="Calibri"/>
          <w:sz w:val="22"/>
          <w:szCs w:val="22"/>
        </w:rPr>
        <w:t>Program konferencie</w:t>
      </w:r>
    </w:p>
    <w:p w:rsidR="000632D3" w:rsidRPr="005D5621" w:rsidRDefault="000632D3" w:rsidP="005D5621">
      <w:pPr>
        <w:pStyle w:val="Odsekzoznamu"/>
        <w:numPr>
          <w:ilvl w:val="0"/>
          <w:numId w:val="4"/>
        </w:numPr>
        <w:jc w:val="both"/>
      </w:pPr>
      <w:r w:rsidRPr="005D5621">
        <w:rPr>
          <w:rFonts w:ascii="Calibri" w:hAnsi="Calibri" w:cs="Calibri"/>
          <w:sz w:val="22"/>
          <w:szCs w:val="22"/>
        </w:rPr>
        <w:t>Prezentácie</w:t>
      </w:r>
    </w:p>
    <w:p w:rsidR="00C458E3" w:rsidRPr="00C458E3" w:rsidRDefault="005421D5" w:rsidP="00A95ED0">
      <w:pPr>
        <w:pStyle w:val="Odsekzoznamu"/>
        <w:numPr>
          <w:ilvl w:val="0"/>
          <w:numId w:val="4"/>
        </w:numPr>
        <w:jc w:val="both"/>
        <w:rPr>
          <w:sz w:val="22"/>
          <w:szCs w:val="22"/>
        </w:rPr>
      </w:pPr>
      <w:r w:rsidRPr="00C458E3">
        <w:rPr>
          <w:rFonts w:ascii="Calibri" w:hAnsi="Calibri" w:cs="Calibri"/>
          <w:sz w:val="22"/>
          <w:szCs w:val="22"/>
        </w:rPr>
        <w:t>Dokumenty prezentované na konferencii</w:t>
      </w:r>
    </w:p>
    <w:p w:rsidR="00C458E3" w:rsidRPr="00C458E3" w:rsidRDefault="00C458E3" w:rsidP="00A62F11">
      <w:pPr>
        <w:pStyle w:val="Odsekzoznamu"/>
        <w:numPr>
          <w:ilvl w:val="0"/>
          <w:numId w:val="4"/>
        </w:numPr>
        <w:jc w:val="both"/>
        <w:rPr>
          <w:rStyle w:val="Hypertextovprepojenie"/>
          <w:color w:val="auto"/>
          <w:u w:val="none"/>
        </w:rPr>
      </w:pPr>
      <w:r w:rsidRPr="00C458E3">
        <w:rPr>
          <w:sz w:val="22"/>
          <w:szCs w:val="22"/>
        </w:rPr>
        <w:t>Link na záznam z konferencie:</w:t>
      </w:r>
      <w:r w:rsidRPr="00C458E3">
        <w:rPr>
          <w:sz w:val="22"/>
          <w:szCs w:val="22"/>
        </w:rPr>
        <w:t xml:space="preserve"> </w:t>
      </w:r>
      <w:hyperlink r:id="rId14" w:history="1">
        <w:r w:rsidRPr="00C458E3">
          <w:rPr>
            <w:rStyle w:val="Hypertextovprepojenie"/>
            <w:color w:val="0F6FC6" w:themeColor="accent1"/>
          </w:rPr>
          <w:t>https://youtu.be/ufX_3a9-cJE</w:t>
        </w:r>
      </w:hyperlink>
    </w:p>
    <w:p w:rsidR="00C458E3" w:rsidRDefault="00C458E3" w:rsidP="00294733">
      <w:pPr>
        <w:pStyle w:val="Odsekzoznamu"/>
        <w:numPr>
          <w:ilvl w:val="0"/>
          <w:numId w:val="4"/>
        </w:numPr>
        <w:rPr>
          <w:sz w:val="22"/>
          <w:szCs w:val="22"/>
        </w:rPr>
      </w:pPr>
      <w:r w:rsidRPr="00C458E3">
        <w:rPr>
          <w:sz w:val="22"/>
          <w:szCs w:val="22"/>
        </w:rPr>
        <w:t>VIPA - Vízia EU pre atraktívnejší vidiek:</w:t>
      </w:r>
      <w:r w:rsidRPr="00C458E3">
        <w:rPr>
          <w:sz w:val="22"/>
          <w:szCs w:val="22"/>
        </w:rPr>
        <w:t xml:space="preserve"> </w:t>
      </w:r>
      <w:hyperlink r:id="rId15" w:tgtFrame="_blank" w:history="1">
        <w:r w:rsidRPr="00C458E3">
          <w:rPr>
            <w:rStyle w:val="Hypertextovprepojenie"/>
            <w:color w:val="0F6FC6" w:themeColor="accent1"/>
            <w:sz w:val="22"/>
            <w:szCs w:val="22"/>
          </w:rPr>
          <w:t>https://rural-vision.europa.eu/index_sk</w:t>
        </w:r>
      </w:hyperlink>
      <w:r w:rsidRPr="00C458E3">
        <w:rPr>
          <w:sz w:val="22"/>
          <w:szCs w:val="22"/>
        </w:rPr>
        <w:t xml:space="preserve"> </w:t>
      </w:r>
      <w:r w:rsidRPr="00C458E3">
        <w:rPr>
          <w:sz w:val="22"/>
          <w:szCs w:val="22"/>
        </w:rPr>
        <w:t> </w:t>
      </w:r>
    </w:p>
    <w:p w:rsidR="00C458E3" w:rsidRPr="00C458E3" w:rsidRDefault="00C458E3" w:rsidP="00C504D4">
      <w:pPr>
        <w:pStyle w:val="Odsekzoznamu"/>
        <w:numPr>
          <w:ilvl w:val="0"/>
          <w:numId w:val="4"/>
        </w:numPr>
        <w:jc w:val="both"/>
        <w:rPr>
          <w:color w:val="0F6FC6" w:themeColor="accent1"/>
          <w:sz w:val="22"/>
          <w:szCs w:val="22"/>
        </w:rPr>
      </w:pPr>
      <w:r w:rsidRPr="00C458E3">
        <w:rPr>
          <w:sz w:val="22"/>
          <w:szCs w:val="22"/>
        </w:rPr>
        <w:t>VIPA - Vízia pre atraktívnejší vidiek na Slovensku</w:t>
      </w:r>
      <w:r w:rsidRPr="00C458E3">
        <w:rPr>
          <w:color w:val="0F6FC6" w:themeColor="accent1"/>
          <w:sz w:val="22"/>
          <w:szCs w:val="22"/>
        </w:rPr>
        <w:t>:</w:t>
      </w:r>
      <w:r w:rsidRPr="00C458E3">
        <w:rPr>
          <w:color w:val="0F6FC6" w:themeColor="accent1"/>
          <w:sz w:val="22"/>
          <w:szCs w:val="22"/>
        </w:rPr>
        <w:t xml:space="preserve"> </w:t>
      </w:r>
      <w:hyperlink r:id="rId16" w:tgtFrame="_blank" w:history="1">
        <w:r w:rsidRPr="00C458E3">
          <w:rPr>
            <w:rStyle w:val="Hypertextovprepojenie"/>
            <w:color w:val="0F6FC6" w:themeColor="accent1"/>
            <w:sz w:val="22"/>
            <w:szCs w:val="22"/>
          </w:rPr>
          <w:t>https://atraktivnyvidiek.sk/vizia-pre-atraktivny-vidiek</w:t>
        </w:r>
      </w:hyperlink>
      <w:bookmarkStart w:id="0" w:name="_GoBack"/>
      <w:bookmarkEnd w:id="0"/>
    </w:p>
    <w:p w:rsidR="00B276B4" w:rsidRDefault="00B276B4" w:rsidP="00B276B4">
      <w:pPr>
        <w:jc w:val="both"/>
      </w:pPr>
    </w:p>
    <w:sectPr w:rsidR="00B27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F5" w:rsidRDefault="00110BF5" w:rsidP="00E15F36">
      <w:pPr>
        <w:spacing w:after="0" w:line="240" w:lineRule="auto"/>
      </w:pPr>
      <w:r>
        <w:separator/>
      </w:r>
    </w:p>
  </w:endnote>
  <w:endnote w:type="continuationSeparator" w:id="0">
    <w:p w:rsidR="00110BF5" w:rsidRDefault="00110BF5" w:rsidP="00E1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F5" w:rsidRDefault="00110BF5" w:rsidP="00E15F36">
      <w:pPr>
        <w:spacing w:after="0" w:line="240" w:lineRule="auto"/>
      </w:pPr>
      <w:r>
        <w:separator/>
      </w:r>
    </w:p>
  </w:footnote>
  <w:footnote w:type="continuationSeparator" w:id="0">
    <w:p w:rsidR="00110BF5" w:rsidRDefault="00110BF5" w:rsidP="00E15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48A2"/>
    <w:multiLevelType w:val="hybridMultilevel"/>
    <w:tmpl w:val="9A48567C"/>
    <w:lvl w:ilvl="0" w:tplc="C3EA63D0">
      <w:start w:val="200"/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7F10A0"/>
    <w:multiLevelType w:val="hybridMultilevel"/>
    <w:tmpl w:val="B92202D2"/>
    <w:lvl w:ilvl="0" w:tplc="633C4C48">
      <w:start w:val="2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310E9"/>
    <w:multiLevelType w:val="hybridMultilevel"/>
    <w:tmpl w:val="134EE4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5B29"/>
    <w:multiLevelType w:val="hybridMultilevel"/>
    <w:tmpl w:val="843EB99A"/>
    <w:lvl w:ilvl="0" w:tplc="0980D6CA">
      <w:start w:val="200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33"/>
    <w:rsid w:val="00026290"/>
    <w:rsid w:val="0002645E"/>
    <w:rsid w:val="000628DC"/>
    <w:rsid w:val="000632D3"/>
    <w:rsid w:val="00100CF1"/>
    <w:rsid w:val="00110BF5"/>
    <w:rsid w:val="00116A01"/>
    <w:rsid w:val="001366C5"/>
    <w:rsid w:val="001569F6"/>
    <w:rsid w:val="001A6227"/>
    <w:rsid w:val="001C3A6F"/>
    <w:rsid w:val="001C4E2B"/>
    <w:rsid w:val="00200485"/>
    <w:rsid w:val="002007D8"/>
    <w:rsid w:val="002110BB"/>
    <w:rsid w:val="00220F13"/>
    <w:rsid w:val="002A751D"/>
    <w:rsid w:val="002B3F48"/>
    <w:rsid w:val="002B4B55"/>
    <w:rsid w:val="002B5799"/>
    <w:rsid w:val="002D52B6"/>
    <w:rsid w:val="00342237"/>
    <w:rsid w:val="003724D4"/>
    <w:rsid w:val="0039008C"/>
    <w:rsid w:val="00396385"/>
    <w:rsid w:val="003F556C"/>
    <w:rsid w:val="004A54B0"/>
    <w:rsid w:val="005421D5"/>
    <w:rsid w:val="005616CB"/>
    <w:rsid w:val="005C421F"/>
    <w:rsid w:val="005D5621"/>
    <w:rsid w:val="005D7313"/>
    <w:rsid w:val="00600490"/>
    <w:rsid w:val="00604E15"/>
    <w:rsid w:val="00605C87"/>
    <w:rsid w:val="00635EAC"/>
    <w:rsid w:val="006546FA"/>
    <w:rsid w:val="00680CF6"/>
    <w:rsid w:val="00692D63"/>
    <w:rsid w:val="006B1F8A"/>
    <w:rsid w:val="00705D89"/>
    <w:rsid w:val="007537AA"/>
    <w:rsid w:val="007E3E90"/>
    <w:rsid w:val="008052BF"/>
    <w:rsid w:val="0082519C"/>
    <w:rsid w:val="00845727"/>
    <w:rsid w:val="008479C2"/>
    <w:rsid w:val="00871861"/>
    <w:rsid w:val="00895435"/>
    <w:rsid w:val="00942B34"/>
    <w:rsid w:val="00985D1F"/>
    <w:rsid w:val="009B2220"/>
    <w:rsid w:val="009B26D1"/>
    <w:rsid w:val="009D19F1"/>
    <w:rsid w:val="009D3EAD"/>
    <w:rsid w:val="00A13A2F"/>
    <w:rsid w:val="00A472C4"/>
    <w:rsid w:val="00AD254A"/>
    <w:rsid w:val="00B20352"/>
    <w:rsid w:val="00B276B4"/>
    <w:rsid w:val="00B92E2F"/>
    <w:rsid w:val="00B95ACF"/>
    <w:rsid w:val="00B9605E"/>
    <w:rsid w:val="00BB1720"/>
    <w:rsid w:val="00C02D57"/>
    <w:rsid w:val="00C03DB0"/>
    <w:rsid w:val="00C355E8"/>
    <w:rsid w:val="00C458E3"/>
    <w:rsid w:val="00C7502D"/>
    <w:rsid w:val="00C80276"/>
    <w:rsid w:val="00C82AF7"/>
    <w:rsid w:val="00CB19AA"/>
    <w:rsid w:val="00CD1281"/>
    <w:rsid w:val="00D03FD3"/>
    <w:rsid w:val="00D33C96"/>
    <w:rsid w:val="00D508AB"/>
    <w:rsid w:val="00D93DDF"/>
    <w:rsid w:val="00DE053D"/>
    <w:rsid w:val="00E02103"/>
    <w:rsid w:val="00E15F36"/>
    <w:rsid w:val="00E43D6A"/>
    <w:rsid w:val="00E46789"/>
    <w:rsid w:val="00E542D2"/>
    <w:rsid w:val="00F04931"/>
    <w:rsid w:val="00F4394A"/>
    <w:rsid w:val="00F63433"/>
    <w:rsid w:val="00F97AC8"/>
    <w:rsid w:val="00FD3877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98D65"/>
  <w15:chartTrackingRefBased/>
  <w15:docId w15:val="{2C570D42-1C61-4F44-AF35-EEF86A91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A2F"/>
  </w:style>
  <w:style w:type="paragraph" w:styleId="Nadpis1">
    <w:name w:val="heading 1"/>
    <w:basedOn w:val="Normlny"/>
    <w:next w:val="Normlny"/>
    <w:link w:val="Nadpis1Char"/>
    <w:uiPriority w:val="9"/>
    <w:qFormat/>
    <w:rsid w:val="00A13A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3A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3A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3A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3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3A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3A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3A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3A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4931"/>
    <w:rPr>
      <w:color w:val="F49100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A13A2F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3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3A2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3A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3A2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3A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3A2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3A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3A2F"/>
    <w:rPr>
      <w:b/>
      <w:bCs/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13A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A13A2F"/>
    <w:pPr>
      <w:pBdr>
        <w:top w:val="single" w:sz="6" w:space="8" w:color="0BD0D9" w:themeColor="accent3"/>
        <w:bottom w:val="single" w:sz="6" w:space="8" w:color="0BD0D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A13A2F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3A2F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13A2F"/>
    <w:rPr>
      <w:color w:val="17406D" w:themeColor="text2"/>
      <w:sz w:val="28"/>
      <w:szCs w:val="28"/>
    </w:rPr>
  </w:style>
  <w:style w:type="character" w:styleId="Siln">
    <w:name w:val="Strong"/>
    <w:basedOn w:val="Predvolenpsmoodseku"/>
    <w:uiPriority w:val="22"/>
    <w:qFormat/>
    <w:rsid w:val="00A13A2F"/>
    <w:rPr>
      <w:b/>
      <w:bCs/>
    </w:rPr>
  </w:style>
  <w:style w:type="character" w:styleId="Zvraznenie">
    <w:name w:val="Emphasis"/>
    <w:basedOn w:val="Predvolenpsmoodseku"/>
    <w:uiPriority w:val="20"/>
    <w:qFormat/>
    <w:rsid w:val="00A13A2F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A13A2F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A13A2F"/>
    <w:pPr>
      <w:spacing w:before="160"/>
      <w:ind w:left="720" w:right="720"/>
      <w:jc w:val="center"/>
    </w:pPr>
    <w:rPr>
      <w:i/>
      <w:iCs/>
      <w:color w:val="089BA2" w:themeColor="accent3" w:themeShade="BF"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A13A2F"/>
    <w:rPr>
      <w:i/>
      <w:iCs/>
      <w:color w:val="089BA2" w:themeColor="accent3" w:themeShade="BF"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3A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3A2F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A13A2F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A13A2F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A13A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A13A2F"/>
    <w:rPr>
      <w:b/>
      <w:bCs/>
      <w:caps w:val="0"/>
      <w:smallCaps/>
      <w:color w:val="auto"/>
      <w:spacing w:val="0"/>
      <w:u w:val="single"/>
    </w:rPr>
  </w:style>
  <w:style w:type="character" w:styleId="Nzovknihy">
    <w:name w:val="Book Title"/>
    <w:basedOn w:val="Predvolenpsmoodseku"/>
    <w:uiPriority w:val="33"/>
    <w:qFormat/>
    <w:rsid w:val="00A13A2F"/>
    <w:rPr>
      <w:b/>
      <w:bCs/>
      <w:caps w:val="0"/>
      <w:smallCap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13A2F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E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5F36"/>
  </w:style>
  <w:style w:type="paragraph" w:styleId="Pta">
    <w:name w:val="footer"/>
    <w:basedOn w:val="Normlny"/>
    <w:link w:val="PtaChar"/>
    <w:uiPriority w:val="99"/>
    <w:unhideWhenUsed/>
    <w:rsid w:val="00E1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F36"/>
  </w:style>
  <w:style w:type="paragraph" w:styleId="Odsekzoznamu">
    <w:name w:val="List Paragraph"/>
    <w:basedOn w:val="Normlny"/>
    <w:uiPriority w:val="34"/>
    <w:qFormat/>
    <w:rsid w:val="005616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0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traktivnyvidiek.sk/vizia-pre-atraktivny-vidi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ural-vision.europa.eu/index_sk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ufX_3a9-cJE" TargetMode="External"/></Relationships>
</file>

<file path=word/theme/theme1.xml><?xml version="1.0" encoding="utf-8"?>
<a:theme xmlns:a="http://schemas.openxmlformats.org/drawingml/2006/main" name="Motív balíka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B8C8A-DC4C-4A1B-923D-B1EB4CA9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Transpetrol</Company>
  <LinksUpToDate>false</LinksUpToDate>
  <CharactersWithSpaces>22126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marietaokenkova@gmail.com</dc:creator>
  <cp:keywords/>
  <dc:description/>
  <cp:lastModifiedBy>Harsová Tatiana</cp:lastModifiedBy>
  <cp:revision>4</cp:revision>
  <dcterms:created xsi:type="dcterms:W3CDTF">2023-03-13T12:44:00Z</dcterms:created>
  <dcterms:modified xsi:type="dcterms:W3CDTF">2023-03-13T13:08:00Z</dcterms:modified>
</cp:coreProperties>
</file>