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TLAČOVÁ SPRÁVA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14.10.2025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ontserrat" w:cs="Montserrat" w:eastAsia="Montserrat" w:hAnsi="Montserrat"/>
          <w:b w:val="1"/>
          <w:sz w:val="23"/>
          <w:szCs w:val="23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3"/>
          <w:szCs w:val="23"/>
          <w:rtl w:val="0"/>
        </w:rPr>
        <w:t xml:space="preserve">Komora MNO </w:t>
      </w:r>
      <w:r w:rsidDel="00000000" w:rsidR="00000000" w:rsidRPr="00000000">
        <w:rPr>
          <w:rFonts w:ascii="Montserrat" w:cs="Montserrat" w:eastAsia="Montserrat" w:hAnsi="Montserrat"/>
          <w:b w:val="1"/>
          <w:sz w:val="23"/>
          <w:szCs w:val="23"/>
          <w:rtl w:val="0"/>
        </w:rPr>
        <w:t xml:space="preserve">zúčtovala</w:t>
      </w:r>
      <w:r w:rsidDel="00000000" w:rsidR="00000000" w:rsidRPr="00000000">
        <w:rPr>
          <w:rFonts w:ascii="Montserrat" w:cs="Montserrat" w:eastAsia="Montserrat" w:hAnsi="Montserrat"/>
          <w:b w:val="1"/>
          <w:sz w:val="23"/>
          <w:szCs w:val="23"/>
          <w:rtl w:val="0"/>
        </w:rPr>
        <w:t xml:space="preserve"> dopady novely zákona o neziskových organizáciách: Mimovládky sú zavalené administratívou, na ktorú nemajú ľudí ani financie, niektoré musia obmedziť verejnoprospešnú činnosť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b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1"/>
          <w:szCs w:val="21"/>
          <w:rtl w:val="0"/>
        </w:rPr>
        <w:t xml:space="preserve">Novela zákona o neziskových organizáciách nadobudla účinnosť 1.6. a zaviedla nové povinnosti pre mimovládne organizácie vrátane povinného zverejňovania zmlúv, faktúr a objednávok každý mesiac, ale aj povinnosť reagovať na žiadosti o informácie či vytvárať nové systémy na evidenciu darcov/kýň.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Na takúto administratívu však v praxi mimovládky nemajú personálne ani finančné kapacity. Aby si nové zákonné povinnosti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splnili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, musia utlmiť, či dokonca zrušiť niektoré aktivity a obmedziť odborné kapacity na verejnoprospešné programy. Vyplýva to z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1"/>
            <w:szCs w:val="21"/>
            <w:u w:val="single"/>
            <w:rtl w:val="0"/>
          </w:rPr>
          <w:t xml:space="preserve">prípadových štúdií</w:t>
        </w:r>
      </w:hyperlink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, ktoré spracovala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1"/>
            <w:szCs w:val="21"/>
            <w:u w:val="single"/>
            <w:rtl w:val="0"/>
          </w:rPr>
          <w:t xml:space="preserve">Komora MNO</w:t>
        </w:r>
      </w:hyperlink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na základe skúseností 10 rôznych typov neziskových organizácií, na ktoré sa vzťahujú nové zákonné povinnosti, a ktoré pôsobia v rôznych oblastiach.  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b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„Administratívne nároky majú za následok financovanie úväzku osoby zabezpečujúcej tieto úlohy z vlastných zdrojov. V praxi to znamená, že pôvodne plánované finančné prostriedky vyčlenené na nájom detského centra v našej pobočke na východnom Slovensku budú použité na iný účel a tento priestor nebude môcť fungovať počas celej doby trvania projektu, kde máme naplánované personálne zdroje a projekt bude musieť z tohto dôvodu skončiť skôr.“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uviedol jeden z respondentov v prípadovej štúdii Komory 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Viaceré z oslovených mimovládnych organizácií v prípadových štúdiách uviedli, že zápasia s personálnym a finančným preťažením. V dôsledku toho sa potrebné financie nedostávajú k ich cieľovým skupinám včas a efektívne. 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„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Zatiaľ čo rodiny detí so zdravotným znevýhodnením denne čelia 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výzvam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 – od prístupu k zdravotnej starostlivosti, cez špeciálne vzdelávacie potreby, až po psychologickú podporu – organizácia, ktorá im chce pomôcť, je nútená kvôli zbytočnej administratíve čakať na uvoľnenie financií. Takéto zdržanie znamená, že pomoc neprichádza vtedy, keď je najviac potrebná, a deti aj rodičia zostávajú odkázaní sami na seba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.“ – uviedol jeden z respondentov v prípadovej štúdii Komory MNO.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Novela zákona po 4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mesiacoch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účinnosti priniesla do viacerých mimovládok frustráciu a vyčerpanie zamestnancov/kýň. V dôsledku toho už pociťujú odliv ľudí, alebo sa ho obávajú. Zvýšená administratíva podľa nich môže odradiť odborné kapacity od pôsobenia v mimovládnom sektore a zhoršiť tak v dlhodobom horizonte kvalitu služieb. Náročná administratíva môže odradiť aj dobrovoľníkov/čky, od ktorých fungovanie niektorých organizácií závisí.   V jednom prípade organizácia uviedla ako dopad stratu komunitného priestoru, ktorý museli zrušiť.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„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V našom regionálnom centre sa o celú činnosť starajú štyria dobrovoľníci. Okrem vedenia detských stretiek, organizovania táborov a komunikácie s rodičmi musia teraz riešiť aj mesačné zverejňovanie faktúr a objednávok. Jeden z nich povedal, že namiesto plánovania programu pre deti 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trávil</w:t>
      </w: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 večer hľadaním spôsobov, ako nahrávať faktúry na web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“ – uviedol jeden z respondentov v prípadovej štúdii Komory MNO.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Aj povinnosť zverejňovať všetkých darcov/kýň vyvoláva medzi oslovenými neziskovkami obavy, pretože podľa nich odrádza drobných podporovateľov/ky a oslabuje tak schopnosť organizácií získavať financie zo súkromných zdrojov.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Komora MNO pre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zmapovanie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dopadov zákona č. 109/2025 oslovila organizácie rôznej veľkosti, s rôznym zameraním a rôznymi zdrojmi financovania. Medzi 10 prípadovými štúdiami sú nadácie, neziskové organizácie poskytujúce všeobecne prospešné služby aj občianske združenia. Zapojené organizácie pôsobia vo všetkých verejnoprospešných oblastiach uvedených v Registri MNO.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1"/>
          <w:szCs w:val="21"/>
          <w:rtl w:val="0"/>
        </w:rPr>
        <w:t xml:space="preserve">“Aj keď nejde o reprezentatívnu vzorku, prípadové štúdie dobre mapujú dopady novely zákona o neziskových organizáciách na rôzne typy organizácií. Aktivity oslovených organizácií majú reálny pozitívny dopad na množstvo zraniteľných skupín žijúcich na Slovensku, a zároveň sú prospešné pre celú spoločnosť. Menovite je ich činnosť významná pre menšiny, zdravotne znevýhodnených, ženy a deti, obete násilia, rodiny v kríze, nevyliečiteľne chorých, mládež či ľudí na úteku,”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dodala spoluautorka zhrnutia prípadových štúdií a členka Výkonného výboru Komory MNO Alžbeta Brozmanová Gregorová (Platforma dobrovoľníckych centier a organizácií).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Prípadové štúdie dopadov novely zákona o neziskových organizáciách Komora MNO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zaslala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aj ministerstvu spravodlivosti, ktoré Rada vlády SR pre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mimovládnej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neziskové organizácie v uznesení vyzvala, aby participatívne novelizovalo zákon o slobodnom prístupe k informáciám.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Po dohode s predsedom Komory MNO Marcelom Zajacom na zasadnutí Rady 23.9. na ministerstve spravodlivosti v týchto dňoch vzniká k novelizácii pracovná skupina, do ktorej nominuje zástupcov/kyne MNO Komora.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Prípadové štúdie by preto mohli byť dôležitým podkladovým materiálom pre dopady, ktoré treba zmierniť alebo z infozákona odstrániť.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1"/>
          <w:szCs w:val="21"/>
          <w:u w:val="single"/>
          <w:rtl w:val="0"/>
        </w:rPr>
        <w:t xml:space="preserve">Kontakt: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koordinátorka Alexandra Demetrianová,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1"/>
            <w:szCs w:val="21"/>
            <w:u w:val="single"/>
            <w:rtl w:val="0"/>
          </w:rPr>
          <w:t xml:space="preserve">alexandra@komoramno.sk</w:t>
        </w:r>
      </w:hyperlink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,</w:t>
      </w:r>
    </w:p>
    <w:p w:rsidR="00000000" w:rsidDel="00000000" w:rsidP="00000000" w:rsidRDefault="00000000" w:rsidRPr="00000000" w14:paraId="00000020">
      <w:pPr>
        <w:ind w:firstLine="72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    0917 949 598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Fonts w:ascii="Montserrat" w:cs="Montserrat" w:eastAsia="Montserrat" w:hAnsi="Montserrat"/>
        <w:b w:val="1"/>
        <w:color w:val="999999"/>
        <w:sz w:val="18"/>
        <w:szCs w:val="18"/>
        <w:highlight w:val="white"/>
        <w:rtl w:val="0"/>
      </w:rPr>
      <w:t xml:space="preserve">KOMORA MIMOVLÁDNYCH NEZISKOVÝCH ORGANIZÁCII </w:t>
    </w:r>
    <w:r w:rsidDel="00000000" w:rsidR="00000000" w:rsidRPr="00000000">
      <w:rPr>
        <w:rFonts w:ascii="Montserrat" w:cs="Montserrat" w:eastAsia="Montserrat" w:hAnsi="Montserrat"/>
        <w:color w:val="999999"/>
        <w:sz w:val="18"/>
        <w:szCs w:val="18"/>
        <w:highlight w:val="white"/>
        <w:rtl w:val="0"/>
      </w:rPr>
      <w:br w:type="textWrapping"/>
      <w:t xml:space="preserve">               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highlight w:val="white"/>
          <w:u w:val="single"/>
          <w:rtl w:val="0"/>
        </w:rPr>
        <w:t xml:space="preserve">Web</w:t>
      </w:r>
    </w:hyperlink>
    <w:r w:rsidDel="00000000" w:rsidR="00000000" w:rsidRPr="00000000">
      <w:rPr>
        <w:rtl w:val="0"/>
      </w:rPr>
      <w:tab/>
      <w:t xml:space="preserve">      </w:t>
    </w:r>
    <w:hyperlink r:id="rId2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highlight w:val="white"/>
          <w:u w:val="single"/>
          <w:rtl w:val="0"/>
        </w:rPr>
        <w:t xml:space="preserve">Email</w:t>
      </w:r>
    </w:hyperlink>
    <w:r w:rsidDel="00000000" w:rsidR="00000000" w:rsidRPr="00000000">
      <w:rPr>
        <w:rFonts w:ascii="Montserrat" w:cs="Montserrat" w:eastAsia="Montserrat" w:hAnsi="Montserrat"/>
        <w:color w:val="999999"/>
        <w:sz w:val="18"/>
        <w:szCs w:val="18"/>
        <w:highlight w:val="white"/>
        <w:rtl w:val="0"/>
      </w:rPr>
      <w:tab/>
      <w:t xml:space="preserve">  </w:t>
    </w:r>
    <w:hyperlink r:id="rId3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highlight w:val="white"/>
          <w:u w:val="single"/>
          <w:rtl w:val="0"/>
        </w:rPr>
        <w:t xml:space="preserve">LinkedIn</w:t>
      </w:r>
    </w:hyperlink>
    <w:r w:rsidDel="00000000" w:rsidR="00000000" w:rsidRPr="00000000">
      <w:rPr>
        <w:rFonts w:ascii="Montserrat" w:cs="Montserrat" w:eastAsia="Montserrat" w:hAnsi="Montserrat"/>
        <w:color w:val="999999"/>
        <w:sz w:val="18"/>
        <w:szCs w:val="18"/>
        <w:highlight w:val="white"/>
        <w:rtl w:val="0"/>
      </w:rPr>
      <w:tab/>
    </w:r>
    <w:hyperlink r:id="rId4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highlight w:val="white"/>
          <w:u w:val="single"/>
          <w:rtl w:val="0"/>
        </w:rPr>
        <w:t xml:space="preserve">Facebook</w:t>
      </w:r>
    </w:hyperlink>
    <w:r w:rsidDel="00000000" w:rsidR="00000000" w:rsidRPr="00000000">
      <w:rPr>
        <w:rFonts w:ascii="Montserrat" w:cs="Montserrat" w:eastAsia="Montserrat" w:hAnsi="Montserrat"/>
        <w:color w:val="999999"/>
        <w:sz w:val="18"/>
        <w:szCs w:val="18"/>
        <w:highlight w:val="white"/>
        <w:rtl w:val="0"/>
      </w:rPr>
      <w:tab/>
    </w:r>
    <w:hyperlink r:id="rId5">
      <w:r w:rsidDel="00000000" w:rsidR="00000000" w:rsidRPr="00000000">
        <w:rPr>
          <w:rFonts w:ascii="Montserrat" w:cs="Montserrat" w:eastAsia="Montserrat" w:hAnsi="Montserrat"/>
          <w:color w:val="1155cc"/>
          <w:sz w:val="18"/>
          <w:szCs w:val="18"/>
          <w:highlight w:val="white"/>
          <w:u w:val="single"/>
          <w:rtl w:val="0"/>
        </w:rPr>
        <w:t xml:space="preserve">Instagram</w:t>
      </w:r>
    </w:hyperlink>
    <w:r w:rsidDel="00000000" w:rsidR="00000000" w:rsidRPr="00000000">
      <w:rPr>
        <w:rFonts w:ascii="Montserrat" w:cs="Montserrat" w:eastAsia="Montserrat" w:hAnsi="Montserrat"/>
        <w:color w:val="999999"/>
        <w:sz w:val="18"/>
        <w:szCs w:val="18"/>
        <w:highlight w:val="white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57363" cy="10495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10495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dobrovolnickecentra.sk/sk/komora-mno/materialy-komora-mno" TargetMode="External"/><Relationship Id="rId7" Type="http://schemas.openxmlformats.org/officeDocument/2006/relationships/hyperlink" Target="https://www.dobrovolnickecentra.sk/sk/komora-mno/o-nas" TargetMode="External"/><Relationship Id="rId8" Type="http://schemas.openxmlformats.org/officeDocument/2006/relationships/hyperlink" Target="mailto:alexandra@komoramno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dobrovolnickecentra.sk/sk/komora-mno/o-nas" TargetMode="External"/><Relationship Id="rId2" Type="http://schemas.openxmlformats.org/officeDocument/2006/relationships/hyperlink" Target="mailto:komoramno@komoramno.sk" TargetMode="External"/><Relationship Id="rId3" Type="http://schemas.openxmlformats.org/officeDocument/2006/relationships/hyperlink" Target="https://www.linkedin.com/company/komora-mno/" TargetMode="External"/><Relationship Id="rId4" Type="http://schemas.openxmlformats.org/officeDocument/2006/relationships/hyperlink" Target="https://www.facebook.com/profile.php?id=61577554079314" TargetMode="External"/><Relationship Id="rId5" Type="http://schemas.openxmlformats.org/officeDocument/2006/relationships/hyperlink" Target="https://www.instagram.com/komora_mn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