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ODPORÚČANIA XIV. FÓRA VIDIEKA 2026</w:t>
      </w:r>
    </w:p>
    <w:p>
      <w:pPr>
        <w:spacing w:after="40" w:before="0"/>
        <w:jc w:val="center"/>
      </w:pPr>
      <w:r>
        <w:rPr>
          <w:b/>
          <w:i w:val="0"/>
        </w:rPr>
        <w:t>Budúcnosť vidieka v ére umelej inteligencie</w:t>
      </w:r>
    </w:p>
    <w:p>
      <w:pPr>
        <w:spacing w:after="200" w:before="0"/>
        <w:jc w:val="center"/>
      </w:pPr>
      <w:r>
        <w:rPr>
          <w:b w:val="0"/>
          <w:i w:val="0"/>
        </w:rPr>
        <w:t>1. október 2026 | Kreatívne centrum Slovenskej poľnohospodárskej univerzity v Nitre</w:t>
      </w:r>
    </w:p>
    <w:p>
      <w:pPr>
        <w:pStyle w:val="Heading1"/>
      </w:pPr>
      <w:r>
        <w:t>Úvod</w:t>
      </w:r>
    </w:p>
    <w:p>
      <w:pPr>
        <w:spacing w:after="80" w:before="0"/>
      </w:pPr>
      <w:r>
        <w:rPr>
          <w:b w:val="0"/>
          <w:i w:val="0"/>
        </w:rPr>
        <w:t>XIV. Fórum vidieka 2026 vytvorilo priestor na odbornú a prakticky orientovanú diskusiu o tom, ako môže umelá inteligencia ovplyvniť život, prácu a rozhodovanie na slovenskom vidieku. Podľa dostupných prezenčných podkladov sa na podujatí zúčastnilo približne 100 účastníkov zo samospráv, štátnej správy, samosprávnych krajov, miestnych akčných skupín, poľnohospodárstva, podnikateľského sektora, výskumu, vzdelávania, občianskej spoločnosti a regionálnych rozvojových organizácií.</w:t>
      </w:r>
    </w:p>
    <w:p>
      <w:pPr>
        <w:spacing w:after="80" w:before="0"/>
      </w:pPr>
      <w:r>
        <w:rPr>
          <w:b w:val="0"/>
          <w:i w:val="0"/>
        </w:rPr>
        <w:t>Diskusia sa sústredila na príležitosti a riziká umelej inteligencie, na jej využitie v poľnohospodárstve, samosprávach a verejných službách, na potrebu rozvíjať digitálne a kritické kompetencie a na otázky ochrany súkromia, kybernetickej bezpečnosti, digitálnej suverenity a zachovania sociálnej súdržnosti vidieckych komunít.</w:t>
      </w:r>
    </w:p>
    <w:p>
      <w:pPr>
        <w:spacing w:after="80" w:before="0"/>
      </w:pPr>
      <w:r>
        <w:rPr>
          <w:b w:val="0"/>
          <w:i w:val="0"/>
        </w:rPr>
        <w:t>Dôležitým cieľom Fóra bolo premeniť odbornú diskusiu na konkrétne odporúčania pre prax a verejné politiky. Výstupy štyroch pracovných skupín preto smerujú k opatreniam, ktoré možno ďalej rozpracovať v národných, regionálnych a miestnych politikách, ako aj v príprave programového obdobia 2028 – 2034 a v dlhodobej vízii rozvoja slovenského vidieka do roku 2040.</w:t>
      </w:r>
    </w:p>
    <w:p>
      <w:pPr>
        <w:pStyle w:val="Heading1"/>
      </w:pPr>
      <w:r>
        <w:t>Hlavné odporúčania</w:t>
      </w:r>
    </w:p>
    <w:p>
      <w:pPr>
        <w:pStyle w:val="Heading2"/>
      </w:pPr>
      <w:r>
        <w:t>1. Zodpovedné využívanie umelej inteligencie a zachovanie ľudskej kontroly</w:t>
      </w:r>
    </w:p>
    <w:p>
      <w:pPr>
        <w:spacing w:after="60"/>
      </w:pPr>
      <w:r>
        <w:rPr>
          <w:b/>
        </w:rPr>
        <w:t xml:space="preserve">Odporúčanie: </w:t>
      </w:r>
      <w:r>
        <w:t>Umelá inteligencia má podporovať rozhodovanie človeka, nie ho nahrádzať. Verejné inštitúcie, samosprávy a ďalší aktéri by mali používať AI transparentne, s jasne určenou zodpovednosťou a s možnosťou ľudskej kontroly nad rozhodnutiami, ktoré majú dopad na občanov.</w:t>
      </w:r>
    </w:p>
    <w:p>
      <w:pPr>
        <w:spacing w:after="60"/>
      </w:pPr>
      <w:r>
        <w:rPr>
          <w:b/>
        </w:rPr>
        <w:t xml:space="preserve">Prečo je to dôležité: </w:t>
      </w:r>
      <w:r>
        <w:t>Diskusia upozornila na riziko nekontrolovaného používania externých AI nástrojov, tzv. tieňovej umelej inteligencie, nedostatočnej kybernetickej ochrany a na potrebu zachovať samostatný úsudok, kritické myslenie a vysvetliteľnosť rozhodnutí.</w:t>
      </w:r>
    </w:p>
    <w:p>
      <w:pPr>
        <w:spacing w:after="60"/>
      </w:pPr>
      <w:r>
        <w:rPr>
          <w:b/>
        </w:rPr>
        <w:t xml:space="preserve">Zodpovední aktéri: </w:t>
      </w:r>
      <w:r>
        <w:t>Vláda SR, MIRRI SR, Ministerstvo vnútra SR, jednotlivé rezorty, samosprávne kraje a obce.</w:t>
      </w:r>
    </w:p>
    <w:p>
      <w:pPr>
        <w:spacing w:after="60"/>
      </w:pPr>
      <w:r>
        <w:rPr>
          <w:b/>
        </w:rPr>
        <w:t xml:space="preserve">Potrebné kroky: </w:t>
      </w:r>
      <w:r>
        <w:t>Pripraviť metodické pravidlá pre používanie AI vo verejnej správe; zaviesť vnútorné pravidlá kontroly AI výstupov; zabezpečiť školenia zamestnancov a pravidlá bezpečného používania externých nástrojov.</w:t>
      </w:r>
    </w:p>
    <w:p>
      <w:pPr>
        <w:spacing w:after="60"/>
      </w:pPr>
      <w:r>
        <w:rPr>
          <w:b/>
        </w:rPr>
        <w:t xml:space="preserve">Časový rámec: </w:t>
      </w:r>
      <w:r>
        <w:t>Základné metodiky a pilotné postupy do roku 2027, následné priebežné zavádzanie.</w:t>
      </w:r>
    </w:p>
    <w:p>
      <w:pPr>
        <w:spacing w:after="60"/>
      </w:pPr>
      <w:r>
        <w:rPr>
          <w:b/>
        </w:rPr>
        <w:t xml:space="preserve">Merateľný výstup: </w:t>
      </w:r>
      <w:r>
        <w:t>Počet verejných inštitúcií a samospráv s prijatými pravidlami používania AI, počet vyškolených zamestnancov a zavedené mechanizmy ľudskej kontroly.</w:t>
      </w:r>
    </w:p>
    <w:p>
      <w:pPr>
        <w:pStyle w:val="Heading2"/>
      </w:pPr>
      <w:r>
        <w:t>2. AI gramotnosť a praktické digitálne vzdelávanie dostupné aj na vidieku</w:t>
      </w:r>
    </w:p>
    <w:p>
      <w:pPr>
        <w:spacing w:after="60"/>
      </w:pPr>
      <w:r>
        <w:rPr>
          <w:b/>
        </w:rPr>
        <w:t xml:space="preserve">Odporúčanie: </w:t>
      </w:r>
      <w:r>
        <w:t>Rozvíjať praktické digitálne a AI kompetencie obyvateľov vidieka, pracovníkov samospráv, farmárov, podnikateľov, učiteľov, mladých ľudí a seniorov. Vzdelávanie má zahŕňať nielen používanie nástrojov, ale aj overovanie výstupov, ochranu pred digitálnymi podvodmi, bezpečnosť a zachovanie praktických zručností.</w:t>
      </w:r>
    </w:p>
    <w:p>
      <w:pPr>
        <w:spacing w:after="60"/>
      </w:pPr>
      <w:r>
        <w:rPr>
          <w:b/>
        </w:rPr>
        <w:t xml:space="preserve">Prečo je to dôležité: </w:t>
      </w:r>
      <w:r>
        <w:t>Pracovné skupiny opakovane poukazovali na riziko digitálnej nerovnosti a na potrebu, aby technologické zmeny nevytvárali ďalšie rozdiely medzi regiónmi a skupinami obyvateľov. Dôležité je aj medzigeneračné učenie a zachovanie schopnosti samostatne premýšľať a rozhodovať.</w:t>
      </w:r>
    </w:p>
    <w:p>
      <w:pPr>
        <w:spacing w:after="60"/>
      </w:pPr>
      <w:r>
        <w:rPr>
          <w:b/>
        </w:rPr>
        <w:t xml:space="preserve">Zodpovední aktéri: </w:t>
      </w:r>
      <w:r>
        <w:t>Ministerstvo školstva, MIRRI SR, samosprávne kraje, obce, univerzity, školy, odborné, komunitné a občianske organizácie.</w:t>
      </w:r>
    </w:p>
    <w:p>
      <w:pPr>
        <w:spacing w:after="60"/>
      </w:pPr>
      <w:r>
        <w:rPr>
          <w:b/>
        </w:rPr>
        <w:t xml:space="preserve">Potrebné kroky: </w:t>
      </w:r>
      <w:r>
        <w:t>Vytvoriť regionálne školenia, praktické vzdelávacie moduly, poradenské body alebo „AI kliniky“, medzigeneračné formáty a systematické zdieľanie dobrej praxe.</w:t>
      </w:r>
    </w:p>
    <w:p>
      <w:pPr>
        <w:spacing w:after="60"/>
      </w:pPr>
      <w:r>
        <w:rPr>
          <w:b/>
        </w:rPr>
        <w:t xml:space="preserve">Časový rámec: </w:t>
      </w:r>
      <w:r>
        <w:t>Pilotné programy od roku 2027, rozšírenie v rokoch 2028 – 2030.</w:t>
      </w:r>
    </w:p>
    <w:p>
      <w:pPr>
        <w:spacing w:after="60"/>
      </w:pPr>
      <w:r>
        <w:rPr>
          <w:b/>
        </w:rPr>
        <w:t xml:space="preserve">Merateľný výstup: </w:t>
      </w:r>
      <w:r>
        <w:t>Počet účastníkov vzdelávania, zapojených obcí, regionálnych programov a poradenských miest; spätná väzba účastníkov na praktickú využiteľnosť.</w:t>
      </w:r>
    </w:p>
    <w:p>
      <w:pPr>
        <w:pStyle w:val="Heading2"/>
      </w:pPr>
      <w:r>
        <w:t>3. Využívanie AI na reálne znižovanie administratívnej záťaže</w:t>
      </w:r>
    </w:p>
    <w:p>
      <w:pPr>
        <w:spacing w:after="60"/>
      </w:pPr>
      <w:r>
        <w:rPr>
          <w:b/>
        </w:rPr>
        <w:t xml:space="preserve">Odporúčanie: </w:t>
      </w:r>
      <w:r>
        <w:t>Digitalizácia a AI majú občanom, obciam, farmárom a podnikateľom reálne šetriť čas. Verejná správa by nemala opakovane vyžadovať údaje, ktoré už má k dispozícii, a technológie by mali byť nasadzované najmä tam, kde zjednodušujú rutinné a opakujúce sa procesy.</w:t>
      </w:r>
    </w:p>
    <w:p>
      <w:pPr>
        <w:spacing w:after="60"/>
      </w:pPr>
      <w:r>
        <w:rPr>
          <w:b/>
        </w:rPr>
        <w:t xml:space="preserve">Prečo je to dôležité: </w:t>
      </w:r>
      <w:r>
        <w:t>Administratívna záťaž bola v pracovných skupinách pomenovaná ako jedna z praktických prekážok rozvoja malých obcí, fariem a podnikania. AI môže pomôcť pri spracovaní údajov, kontrole dokumentov, predvyplňovaní formulárov a prepájaní informačných systémov.</w:t>
      </w:r>
    </w:p>
    <w:p>
      <w:pPr>
        <w:spacing w:after="60"/>
      </w:pPr>
      <w:r>
        <w:rPr>
          <w:b/>
        </w:rPr>
        <w:t xml:space="preserve">Zodpovední aktéri: </w:t>
      </w:r>
      <w:r>
        <w:t>MIRRI SR, Ministerstvo vnútra SR, príslušné rezorty, obce a správcovia verejných informačných systémov.</w:t>
      </w:r>
    </w:p>
    <w:p>
      <w:pPr>
        <w:spacing w:after="60"/>
      </w:pPr>
      <w:r>
        <w:rPr>
          <w:b/>
        </w:rPr>
        <w:t xml:space="preserve">Potrebné kroky: </w:t>
      </w:r>
      <w:r>
        <w:t>Identifikovať administratívne najnáročnejšie procesy; vybrať pilotné agendy; zavádzať predvyplnenie formulárov, prepájanie systémov, automatizáciu opakujúcich sa úloh a jednoduchšie používateľské rozhrania.</w:t>
      </w:r>
    </w:p>
    <w:p>
      <w:pPr>
        <w:spacing w:after="60"/>
      </w:pPr>
      <w:r>
        <w:rPr>
          <w:b/>
        </w:rPr>
        <w:t xml:space="preserve">Časový rámec: </w:t>
      </w:r>
      <w:r>
        <w:t>Pilotné riešenia v roku 2027, širšie zavádzanie od roku 2028.</w:t>
      </w:r>
    </w:p>
    <w:p>
      <w:pPr>
        <w:spacing w:after="60"/>
      </w:pPr>
      <w:r>
        <w:rPr>
          <w:b/>
        </w:rPr>
        <w:t xml:space="preserve">Merateľný výstup: </w:t>
      </w:r>
      <w:r>
        <w:t>Skrátenie času potrebného na vybavenie agendy, zníženie počtu formulárov a opakovaných úkonov, spokojnosť používateľov.</w:t>
      </w:r>
    </w:p>
    <w:p>
      <w:pPr>
        <w:pStyle w:val="Heading2"/>
      </w:pPr>
      <w:r>
        <w:t>4. Integrované a dostupné verejné služby podľa potrieb územia</w:t>
      </w:r>
    </w:p>
    <w:p>
      <w:pPr>
        <w:spacing w:after="60"/>
      </w:pPr>
      <w:r>
        <w:rPr>
          <w:b/>
        </w:rPr>
        <w:t xml:space="preserve">Odporúčanie: </w:t>
      </w:r>
      <w:r>
        <w:t>Zdravotné, sociálne, vzdelávacie, dopravné a administratívne služby majú byť plánované a prepájané podľa potrieb konkrétneho územia. Digitalizácia má rozširovať dostupnosť služieb, nie vytvárať nové bariéry pre ľudí bez internetu, smartfónu alebo digitálnych zručností.</w:t>
      </w:r>
    </w:p>
    <w:p>
      <w:pPr>
        <w:spacing w:after="60"/>
      </w:pPr>
      <w:r>
        <w:rPr>
          <w:b/>
        </w:rPr>
        <w:t xml:space="preserve">Prečo je to dôležité: </w:t>
      </w:r>
      <w:r>
        <w:t>Na vidieku je problémom nielen absencia niektorých služieb, ale aj ich rozdrobenosť, vzdialenosť a nedostatočné prepojenie. Zraniteľné skupiny potrebujú okrem digitálneho prístupu aj ľudskú podporu, poradenstvo a funkčné komunitné služby.</w:t>
      </w:r>
    </w:p>
    <w:p>
      <w:pPr>
        <w:spacing w:after="60"/>
      </w:pPr>
      <w:r>
        <w:rPr>
          <w:b/>
        </w:rPr>
        <w:t xml:space="preserve">Zodpovední aktéri: </w:t>
      </w:r>
      <w:r>
        <w:t>Príslušné ministerstvá, samosprávne kraje, obce a poskytovatelia verejných služieb.</w:t>
      </w:r>
    </w:p>
    <w:p>
      <w:pPr>
        <w:spacing w:after="60"/>
      </w:pPr>
      <w:r>
        <w:rPr>
          <w:b/>
        </w:rPr>
        <w:t xml:space="preserve">Potrebné kroky: </w:t>
      </w:r>
      <w:r>
        <w:t>Mapovať biele miesta v dostupnosti služieb; prepájať dáta o potrebách obyvateľov; vytvárať spoločné kontaktné miesta, mobilné a terénne služby, zdieľané služby viacerých obcí a asistované digitálne služby.</w:t>
      </w:r>
    </w:p>
    <w:p>
      <w:pPr>
        <w:spacing w:after="60"/>
      </w:pPr>
      <w:r>
        <w:rPr>
          <w:b/>
        </w:rPr>
        <w:t xml:space="preserve">Časový rámec: </w:t>
      </w:r>
      <w:r>
        <w:t>Mapovanie a pilotné modely v rokoch 2027 – 2028, rozšírenie v období 2028 – 2034.</w:t>
      </w:r>
    </w:p>
    <w:p>
      <w:pPr>
        <w:spacing w:after="60"/>
      </w:pPr>
      <w:r>
        <w:rPr>
          <w:b/>
        </w:rPr>
        <w:t xml:space="preserve">Merateľný výstup: </w:t>
      </w:r>
      <w:r>
        <w:t>Dostupnosť služby, čas dochádzky, počet spoločných alebo mobilných služieb, počet obcí zapojených do integrovaných modelov a spokojnosť obyvateľov.</w:t>
      </w:r>
    </w:p>
    <w:p>
      <w:pPr>
        <w:pStyle w:val="Heading2"/>
      </w:pPr>
      <w:r>
        <w:t>5. Digitálna suverenita a bezpečná správa dát</w:t>
      </w:r>
    </w:p>
    <w:p>
      <w:pPr>
        <w:spacing w:after="60"/>
      </w:pPr>
      <w:r>
        <w:rPr>
          <w:b/>
        </w:rPr>
        <w:t xml:space="preserve">Odporúčanie: </w:t>
      </w:r>
      <w:r>
        <w:t>Farmári, samosprávy, podnikatelia a verejné inštitúcie musia vedieť, kto ich dáta spravuje, kde sú uložené, na čo sa používajú a za akých podmienok sa zdieľajú. Rozvoj AI má byť sprevádzaný transparentnou správou dát, ochranou súkromia a kybernetickou bezpečnosťou.</w:t>
      </w:r>
    </w:p>
    <w:p>
      <w:pPr>
        <w:spacing w:after="60"/>
      </w:pPr>
      <w:r>
        <w:rPr>
          <w:b/>
        </w:rPr>
        <w:t xml:space="preserve">Prečo je to dôležité: </w:t>
      </w:r>
      <w:r>
        <w:t>Dáta boli v diskusii identifikované ako kľúčový zdroj pre kvalitné rozhodovanie, ale aj ako oblasť rizika. Zvlášť pri poľnohospodárskych, verejných a regionálnych dátach je dôležité zachovať kontrolu nad ich využívaním a ekonomickou hodnotou.</w:t>
      </w:r>
    </w:p>
    <w:p>
      <w:pPr>
        <w:spacing w:after="60"/>
      </w:pPr>
      <w:r>
        <w:rPr>
          <w:b/>
        </w:rPr>
        <w:t xml:space="preserve">Zodpovední aktéri: </w:t>
      </w:r>
      <w:r>
        <w:t>MIRRI SR, príslušné rezorty, samosprávne kraje, obce, správcovia registrov a odborné dátové inštitúcie.</w:t>
      </w:r>
    </w:p>
    <w:p>
      <w:pPr>
        <w:spacing w:after="60"/>
      </w:pPr>
      <w:r>
        <w:rPr>
          <w:b/>
        </w:rPr>
        <w:t xml:space="preserve">Potrebné kroky: </w:t>
      </w:r>
      <w:r>
        <w:t>Stanoviť pravidlá vlastníctva a prístupu k dátam, interoperabilitu, bezpečnostné štandardy a transparentné podmienky ich zdieľania a sekundárneho využívania.</w:t>
      </w:r>
    </w:p>
    <w:p>
      <w:pPr>
        <w:spacing w:after="60"/>
      </w:pPr>
      <w:r>
        <w:rPr>
          <w:b/>
        </w:rPr>
        <w:t xml:space="preserve">Časový rámec: </w:t>
      </w:r>
      <w:r>
        <w:t>2027 – 2030.</w:t>
      </w:r>
    </w:p>
    <w:p>
      <w:pPr>
        <w:spacing w:after="60"/>
      </w:pPr>
      <w:r>
        <w:rPr>
          <w:b/>
        </w:rPr>
        <w:t xml:space="preserve">Merateľný výstup: </w:t>
      </w:r>
      <w:r>
        <w:t>Počet informačných systémov s jasnými pravidlami využívania dát, počet zapojených samospráv a organizácií a zavedené bezpečnostné štandardy.</w:t>
      </w:r>
    </w:p>
    <w:p>
      <w:pPr>
        <w:pStyle w:val="Heading2"/>
      </w:pPr>
      <w:r>
        <w:t>6. Modernizácia poľnohospodárstva pri zachovaní praktických vedomostí</w:t>
      </w:r>
    </w:p>
    <w:p>
      <w:pPr>
        <w:spacing w:after="60"/>
      </w:pPr>
      <w:r>
        <w:rPr>
          <w:b/>
        </w:rPr>
        <w:t xml:space="preserve">Odporúčanie: </w:t>
      </w:r>
      <w:r>
        <w:t>Podporovať precízne poľnohospodárstvo, senzory, automatizáciu a AI aj pre menšie a stredné farmy, pričom je potrebné zachovať praktické odborné vedomosti, skúsenosť a schopnosť samostatne posúdiť stav pôdy, rastlín a zvierat.</w:t>
      </w:r>
    </w:p>
    <w:p>
      <w:pPr>
        <w:spacing w:after="60"/>
      </w:pPr>
      <w:r>
        <w:rPr>
          <w:b/>
        </w:rPr>
        <w:t xml:space="preserve">Prečo je to dôležité: </w:t>
      </w:r>
      <w:r>
        <w:t>Digitalizácia môže podporiť efektívnejšie využívanie vstupov, klimatickú adaptáciu, poradenstvo a konkurencieschopnosť fariem. Pracovná skupina však upozornila, že technológie nesmú viesť k strate praktických schopností a úplnej závislosti od externých riešení.</w:t>
      </w:r>
    </w:p>
    <w:p>
      <w:pPr>
        <w:spacing w:after="60"/>
      </w:pPr>
      <w:r>
        <w:rPr>
          <w:b/>
        </w:rPr>
        <w:t xml:space="preserve">Zodpovední aktéri: </w:t>
      </w:r>
      <w:r>
        <w:t>MPRV SR, Pôdohospodárska platobná agentúra, SPU, výskumné a poradenské organizácie a farmárske združenia.</w:t>
      </w:r>
    </w:p>
    <w:p>
      <w:pPr>
        <w:spacing w:after="60"/>
      </w:pPr>
      <w:r>
        <w:rPr>
          <w:b/>
        </w:rPr>
        <w:t xml:space="preserve">Potrebné kroky: </w:t>
      </w:r>
      <w:r>
        <w:t>Rozvíjať demonštračné farmy, praktické piloty, nezávislé odborné poradenstvo, dostupné investičné nástroje a vzdelávanie zamerané na konkrétne farmárske procesy.</w:t>
      </w:r>
    </w:p>
    <w:p>
      <w:pPr>
        <w:spacing w:after="60"/>
      </w:pPr>
      <w:r>
        <w:rPr>
          <w:b/>
        </w:rPr>
        <w:t xml:space="preserve">Časový rámec: </w:t>
      </w:r>
      <w:r>
        <w:t>Od roku 2027, následne v období 2028 – 2034.</w:t>
      </w:r>
    </w:p>
    <w:p>
      <w:pPr>
        <w:spacing w:after="60"/>
      </w:pPr>
      <w:r>
        <w:rPr>
          <w:b/>
        </w:rPr>
        <w:t xml:space="preserve">Merateľný výstup: </w:t>
      </w:r>
      <w:r>
        <w:t>Počet zapojených fariem, využitie digitálnych riešení, úspora vstupov a zlepšenie dostupnosti odborného poradenstva.</w:t>
      </w:r>
    </w:p>
    <w:p>
      <w:pPr>
        <w:pStyle w:val="Heading2"/>
      </w:pPr>
      <w:r>
        <w:t>7. Systematická podpora medziobecnej spolupráce a funkčných mikroregiónov</w:t>
      </w:r>
    </w:p>
    <w:p>
      <w:pPr>
        <w:spacing w:after="60"/>
      </w:pPr>
      <w:r>
        <w:rPr>
          <w:b/>
        </w:rPr>
        <w:t xml:space="preserve">Odporúčanie: </w:t>
      </w:r>
      <w:r>
        <w:t>Malé obce nemajú kapacitu zabezpečovať všetkých odborníkov a služby samostatne. Preto je potrebné podporovať spoločné odborné kapacity, zdieľané služby, spoločné projektové zázemie a rozvoj funkčných mikroregiónov.</w:t>
      </w:r>
    </w:p>
    <w:p>
      <w:pPr>
        <w:spacing w:after="60"/>
      </w:pPr>
      <w:r>
        <w:rPr>
          <w:b/>
        </w:rPr>
        <w:t xml:space="preserve">Prečo je to dôležité: </w:t>
      </w:r>
      <w:r>
        <w:t>Pracovné skupiny zdôraznili, že medziobecná spolupráca môže pomôcť riešiť nedostatok personálnych a finančných kapacít, zlepšiť dostupnosť služieb a efektívnejšie využívať verejné zdroje.</w:t>
      </w:r>
    </w:p>
    <w:p>
      <w:pPr>
        <w:spacing w:after="60"/>
      </w:pPr>
      <w:r>
        <w:rPr>
          <w:b/>
        </w:rPr>
        <w:t xml:space="preserve">Zodpovední aktéri: </w:t>
      </w:r>
      <w:r>
        <w:t>Obce, združenia obcí a mikroregióny, samosprávne kraje, Ministerstvo vnútra SR a MIRRI SR.</w:t>
      </w:r>
    </w:p>
    <w:p>
      <w:pPr>
        <w:spacing w:after="60"/>
      </w:pPr>
      <w:r>
        <w:rPr>
          <w:b/>
        </w:rPr>
        <w:t xml:space="preserve">Potrebné kroky: </w:t>
      </w:r>
      <w:r>
        <w:t>Podporovať spoločné odborné tímy, dátové a projektové kapacity, sociálne a komunitné služby a spoločné projekty dopravy, energetiky a ďalších oblastí; upraviť financovanie tak, aby spoločné riešenia boli administratívne jednoduchšie a výhodnejšie.</w:t>
      </w:r>
    </w:p>
    <w:p>
      <w:pPr>
        <w:spacing w:after="60"/>
      </w:pPr>
      <w:r>
        <w:rPr>
          <w:b/>
        </w:rPr>
        <w:t xml:space="preserve">Časový rámec: </w:t>
      </w:r>
      <w:r>
        <w:t>Modely a piloty v rokoch 2027 – 2028, následné rozšírenie.</w:t>
      </w:r>
    </w:p>
    <w:p>
      <w:pPr>
        <w:spacing w:after="60"/>
      </w:pPr>
      <w:r>
        <w:rPr>
          <w:b/>
        </w:rPr>
        <w:t xml:space="preserve">Merateľný výstup: </w:t>
      </w:r>
      <w:r>
        <w:t>Počet spoločných služieb, tímov, projektov a obcí zapojených do funkčných mikroregionálnych riešení.</w:t>
      </w:r>
    </w:p>
    <w:p>
      <w:pPr>
        <w:pStyle w:val="Heading2"/>
      </w:pPr>
      <w:r>
        <w:t>8. Rural proofing a jednoduchšie, stabilnejšie financovanie vidieka</w:t>
      </w:r>
    </w:p>
    <w:p>
      <w:pPr>
        <w:spacing w:after="60"/>
      </w:pPr>
      <w:r>
        <w:rPr>
          <w:b/>
        </w:rPr>
        <w:t xml:space="preserve">Odporúčanie: </w:t>
      </w:r>
      <w:r>
        <w:t>Pri významných zákonoch, reformách a verejných politikách systematicky posudzovať ich dopad na vidiecke oblasti. Financovanie po roku 2027 má byť pre malé obce, farmárov, podnikateľov a miestnych aktérov administratívne primerané, dostupné a stabilné.</w:t>
      </w:r>
    </w:p>
    <w:p>
      <w:pPr>
        <w:spacing w:after="60"/>
      </w:pPr>
      <w:r>
        <w:rPr>
          <w:b/>
        </w:rPr>
        <w:t xml:space="preserve">Prečo je to dôležité: </w:t>
      </w:r>
      <w:r>
        <w:t>Vidiecke územia majú odlišné podmienky, kapacity a dostupnosť služieb. Pracovné skupiny upozornili na potrebu lepšie zohľadňovať tieto rozdiely pri tvorbe politík a zároveň zjednodušiť prístup malých subjektov k podpore.</w:t>
      </w:r>
    </w:p>
    <w:p>
      <w:pPr>
        <w:spacing w:after="60"/>
      </w:pPr>
      <w:r>
        <w:rPr>
          <w:b/>
        </w:rPr>
        <w:t xml:space="preserve">Zodpovední aktéri: </w:t>
      </w:r>
      <w:r>
        <w:t>Vláda SR, MIRRI SR, MPRV SR, Ministerstvo financií SR, jednotlivé rezorty, samosprávne kraje a riadiace orgány fondov EÚ.</w:t>
      </w:r>
    </w:p>
    <w:p>
      <w:pPr>
        <w:spacing w:after="60"/>
      </w:pPr>
      <w:r>
        <w:rPr>
          <w:b/>
        </w:rPr>
        <w:t xml:space="preserve">Potrebné kroky: </w:t>
      </w:r>
      <w:r>
        <w:t>Pripraviť metodiku rural proofingu; zavádzať mikrogranty, primeranú administratívu podľa veľkosti projektu, dlhodobejšie schémy a financovanie spoločných projektov obcí a miestnych partnerstiev.</w:t>
      </w:r>
    </w:p>
    <w:p>
      <w:pPr>
        <w:spacing w:after="60"/>
      </w:pPr>
      <w:r>
        <w:rPr>
          <w:b/>
        </w:rPr>
        <w:t xml:space="preserve">Časový rámec: </w:t>
      </w:r>
      <w:r>
        <w:t>Metodika do roku 2027, uplatňovanie od roku 2028.</w:t>
      </w:r>
    </w:p>
    <w:p>
      <w:pPr>
        <w:spacing w:after="60"/>
      </w:pPr>
      <w:r>
        <w:rPr>
          <w:b/>
        </w:rPr>
        <w:t xml:space="preserve">Merateľný výstup: </w:t>
      </w:r>
      <w:r>
        <w:t>Počet politík, pri ktorých bol vyhodnotený dopad na vidiek; podiel malých obcí a miestnych organizácií úspešných vo financovaní; počet podporených spoločných projektov.</w:t>
      </w:r>
    </w:p>
    <w:p>
      <w:pPr>
        <w:pStyle w:val="Heading1"/>
      </w:pPr>
      <w:r>
        <w:t>Prierezové priority</w:t>
      </w:r>
    </w:p>
    <w:p>
      <w:pPr>
        <w:pStyle w:val="ListBullet"/>
        <w:spacing w:after="40"/>
      </w:pPr>
      <w:r>
        <w:t>ľudská kontrola nad AI, kritické myslenie a schopnosť overovať výstupy technológií;</w:t>
      </w:r>
    </w:p>
    <w:p>
      <w:pPr>
        <w:pStyle w:val="ListBullet"/>
        <w:spacing w:after="40"/>
      </w:pPr>
      <w:r>
        <w:t>ochrana súkromia, kybernetická bezpečnosť a transparentná správa dát;</w:t>
      </w:r>
    </w:p>
    <w:p>
      <w:pPr>
        <w:pStyle w:val="ListBullet"/>
        <w:spacing w:after="40"/>
      </w:pPr>
      <w:r>
        <w:t>znižovanie administratívy a praktická použiteľnosť digitálnych riešení;</w:t>
      </w:r>
    </w:p>
    <w:p>
      <w:pPr>
        <w:pStyle w:val="ListBullet"/>
        <w:spacing w:after="40"/>
      </w:pPr>
      <w:r>
        <w:t>dostupnosť služieb aj pre seniorov, zraniteľné skupiny a ľudí s nízkymi digitálnymi zručnosťami;</w:t>
      </w:r>
    </w:p>
    <w:p>
      <w:pPr>
        <w:pStyle w:val="ListBullet"/>
        <w:spacing w:after="40"/>
      </w:pPr>
      <w:r>
        <w:t>medzigeneračná spolupráca, komunitný život a prevencia digitálnej izolácie;</w:t>
      </w:r>
    </w:p>
    <w:p>
      <w:pPr>
        <w:pStyle w:val="ListBullet"/>
        <w:spacing w:after="40"/>
      </w:pPr>
      <w:r>
        <w:t>udržanie a návrat mladých ľudí na vidiek, nové pracovné príležitosti a rozvoj miestnej ekonomiky;</w:t>
      </w:r>
    </w:p>
    <w:p>
      <w:pPr>
        <w:pStyle w:val="ListBullet"/>
        <w:spacing w:after="40"/>
      </w:pPr>
      <w:r>
        <w:t>medziobecná spolupráca, funkčné mikroregióny a spoločné kapacity;</w:t>
      </w:r>
    </w:p>
    <w:p>
      <w:pPr>
        <w:pStyle w:val="ListBullet"/>
        <w:spacing w:after="40"/>
      </w:pPr>
      <w:r>
        <w:t>prepojenie digitálnej, zelenej a sociálnej transformácie v horizonte do roku 2040.</w:t>
      </w:r>
    </w:p>
    <w:p>
      <w:pPr>
        <w:pStyle w:val="Heading1"/>
      </w:pPr>
      <w:r>
        <w:t>Ďalšie smerovanie</w:t>
      </w:r>
    </w:p>
    <w:p>
      <w:pPr>
        <w:spacing w:after="80" w:before="0"/>
      </w:pPr>
      <w:r>
        <w:rPr>
          <w:b w:val="0"/>
          <w:i w:val="0"/>
        </w:rPr>
        <w:t>Odporúčania Fóra majú slúžiť ako podklad pre ďalšiu odbornú a politickú diskusiu o budúcnosti slovenského vidieka, najmä v kontexte prípravy programového obdobia 2028 – 2034 a dlhodobej vízie rozvoja vidieckych oblastí do roku 2040. Za dôležité sa považuje, aby vybrané odporúčania boli overené aj prakticky prostredníctvom pilotných riešení a aby sa ich plnenie priebežne vyhodnocovalo.</w:t>
      </w:r>
    </w:p>
    <w:p>
      <w:pPr>
        <w:spacing w:after="80" w:before="0"/>
      </w:pPr>
      <w:r>
        <w:rPr>
          <w:b w:val="0"/>
          <w:i w:val="0"/>
        </w:rPr>
        <w:t>Osobitný priestor na ďalšie rozpracovanie predstavujú regionálne formy AI vzdelávania, zdieľané služby samospráv, bezpečné dátové platformy, modernizácia poľnohospodárstva, medziobecná spolupráca a zavedenie rural proofingu do tvorby verejných politík.</w:t>
      </w:r>
    </w:p>
    <w:p>
      <w:pPr>
        <w:pStyle w:val="Heading1"/>
      </w:pPr>
      <w:r>
        <w:t>Záverečné posolstvo</w:t>
      </w:r>
    </w:p>
    <w:p>
      <w:pPr>
        <w:spacing w:after="80" w:before="0"/>
      </w:pPr>
      <w:r>
        <w:rPr>
          <w:b/>
          <w:i w:val="0"/>
        </w:rPr>
        <w:t>Umelá inteligencia nebude určovať budúcnosť vidieka sama. Budúcnosť vidieka budú určovať ľudia, komunity a hodnoty, ktoré sa rozhodneme podporovať. Technológie majú slúžiť človeku, komunitám a krajine – nie ich nahrádzať.</w:t>
      </w:r>
    </w:p>
    <w:p>
      <w:pPr>
        <w:spacing w:after="80" w:before="0"/>
      </w:pPr>
      <w:r>
        <w:rPr>
          <w:b w:val="0"/>
          <w:i w:val="0"/>
        </w:rPr>
        <w:t>Úspech digitálnej transformácie preto nemá byť meraný počtom zavedených nástrojov, ale tým, či sa na vidieku zlepšuje kvalita života, dostupnosť služieb, podmienky pre podnikanie a hospodárenie, schopnosť obcí spolupracovať a sila miestnych komunít.</w:t>
      </w:r>
    </w:p>
    <w:sectPr w:rsidR="00FC693F" w:rsidRPr="0006063C" w:rsidSect="00034616">
      <w:footerReference w:type="default" r:id="rId9"/>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XIV. Fórum vidieka 2026 | 1. október 2026 | Nitra</w:t>
    </w:r>
    <w:r>
      <w:t xml:space="preserv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